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9F2" w:rsidRPr="00D0563D" w:rsidRDefault="00CB7486" w:rsidP="008F5F7E">
      <w:pPr>
        <w:spacing w:before="240" w:after="120"/>
        <w:jc w:val="center"/>
        <w:rPr>
          <w:rFonts w:asciiTheme="minorHAnsi" w:hAnsiTheme="minorHAnsi"/>
          <w:b/>
          <w:sz w:val="32"/>
          <w:szCs w:val="32"/>
        </w:rPr>
      </w:pPr>
      <w:r>
        <w:rPr>
          <w:noProof/>
          <w:color w:val="1F497D"/>
        </w:rPr>
        <w:drawing>
          <wp:inline distT="0" distB="0" distL="0" distR="0">
            <wp:extent cx="1869311" cy="895914"/>
            <wp:effectExtent l="0" t="0" r="0" b="0"/>
            <wp:docPr id="3" name="Picture 3" descr="cid:image001.png@01D0FB9B.C99DF7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png@01D0FB9B.C99DF7A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904787" cy="912917"/>
                    </a:xfrm>
                    <a:prstGeom prst="rect">
                      <a:avLst/>
                    </a:prstGeom>
                    <a:noFill/>
                    <a:ln>
                      <a:noFill/>
                    </a:ln>
                  </pic:spPr>
                </pic:pic>
              </a:graphicData>
            </a:graphic>
          </wp:inline>
        </w:drawing>
      </w:r>
    </w:p>
    <w:p w:rsidR="00C65280" w:rsidRDefault="00C65280" w:rsidP="00BC19F2">
      <w:pPr>
        <w:jc w:val="center"/>
        <w:rPr>
          <w:rFonts w:asciiTheme="minorHAnsi" w:hAnsiTheme="minorHAnsi"/>
          <w:b/>
          <w:sz w:val="32"/>
          <w:szCs w:val="32"/>
        </w:rPr>
      </w:pPr>
    </w:p>
    <w:p w:rsidR="00B52D64" w:rsidRDefault="00F529FC" w:rsidP="00B52D64">
      <w:pPr>
        <w:spacing w:line="360" w:lineRule="auto"/>
        <w:jc w:val="center"/>
        <w:rPr>
          <w:rFonts w:asciiTheme="minorHAnsi" w:hAnsiTheme="minorHAnsi"/>
          <w:b/>
          <w:sz w:val="32"/>
          <w:szCs w:val="32"/>
        </w:rPr>
      </w:pPr>
      <w:r w:rsidRPr="00D0563D">
        <w:rPr>
          <w:rFonts w:asciiTheme="minorHAnsi" w:hAnsiTheme="minorHAnsi"/>
          <w:b/>
          <w:sz w:val="32"/>
          <w:szCs w:val="32"/>
        </w:rPr>
        <w:t xml:space="preserve">Gender </w:t>
      </w:r>
      <w:r w:rsidR="00B52D64">
        <w:rPr>
          <w:rFonts w:asciiTheme="minorHAnsi" w:hAnsiTheme="minorHAnsi"/>
          <w:b/>
          <w:sz w:val="32"/>
          <w:szCs w:val="32"/>
        </w:rPr>
        <w:t>E</w:t>
      </w:r>
      <w:r w:rsidRPr="00D0563D">
        <w:rPr>
          <w:rFonts w:asciiTheme="minorHAnsi" w:hAnsiTheme="minorHAnsi"/>
          <w:b/>
          <w:sz w:val="32"/>
          <w:szCs w:val="32"/>
        </w:rPr>
        <w:t>quality</w:t>
      </w:r>
      <w:r w:rsidR="00B52D64">
        <w:rPr>
          <w:rFonts w:asciiTheme="minorHAnsi" w:hAnsiTheme="minorHAnsi"/>
          <w:b/>
          <w:sz w:val="32"/>
          <w:szCs w:val="32"/>
        </w:rPr>
        <w:t xml:space="preserve"> and Women’s Empowerment</w:t>
      </w:r>
    </w:p>
    <w:p w:rsidR="00F529FC" w:rsidRDefault="00F529FC" w:rsidP="00B52D64">
      <w:pPr>
        <w:spacing w:line="360" w:lineRule="auto"/>
        <w:jc w:val="center"/>
        <w:rPr>
          <w:rFonts w:asciiTheme="minorHAnsi" w:hAnsiTheme="minorHAnsi"/>
          <w:b/>
          <w:sz w:val="32"/>
          <w:szCs w:val="32"/>
        </w:rPr>
      </w:pPr>
      <w:proofErr w:type="gramStart"/>
      <w:r w:rsidRPr="00D0563D">
        <w:rPr>
          <w:rFonts w:asciiTheme="minorHAnsi" w:hAnsiTheme="minorHAnsi"/>
          <w:b/>
          <w:sz w:val="32"/>
          <w:szCs w:val="32"/>
        </w:rPr>
        <w:t>in</w:t>
      </w:r>
      <w:proofErr w:type="gramEnd"/>
      <w:r w:rsidRPr="00D0563D">
        <w:rPr>
          <w:rFonts w:asciiTheme="minorHAnsi" w:hAnsiTheme="minorHAnsi"/>
          <w:b/>
          <w:sz w:val="32"/>
          <w:szCs w:val="32"/>
        </w:rPr>
        <w:t xml:space="preserve"> </w:t>
      </w:r>
      <w:r w:rsidR="00B52D64">
        <w:rPr>
          <w:rFonts w:asciiTheme="minorHAnsi" w:hAnsiTheme="minorHAnsi"/>
          <w:b/>
          <w:sz w:val="32"/>
          <w:szCs w:val="32"/>
        </w:rPr>
        <w:t>a Changing C</w:t>
      </w:r>
      <w:r w:rsidRPr="00D0563D">
        <w:rPr>
          <w:rFonts w:asciiTheme="minorHAnsi" w:hAnsiTheme="minorHAnsi"/>
          <w:b/>
          <w:sz w:val="32"/>
          <w:szCs w:val="32"/>
        </w:rPr>
        <w:t xml:space="preserve">limate </w:t>
      </w:r>
    </w:p>
    <w:p w:rsidR="008C0566" w:rsidRDefault="00CF26F1" w:rsidP="008C0566">
      <w:pPr>
        <w:spacing w:line="360" w:lineRule="auto"/>
        <w:jc w:val="center"/>
        <w:rPr>
          <w:rFonts w:asciiTheme="minorHAnsi" w:hAnsiTheme="minorHAnsi"/>
          <w:b/>
          <w:sz w:val="32"/>
          <w:szCs w:val="32"/>
        </w:rPr>
      </w:pPr>
      <w:r>
        <w:rPr>
          <w:rFonts w:asciiTheme="minorHAnsi" w:hAnsiTheme="minorHAnsi"/>
          <w:b/>
          <w:sz w:val="32"/>
          <w:szCs w:val="32"/>
        </w:rPr>
        <w:t>UN Women Key Messages for</w:t>
      </w:r>
      <w:r w:rsidR="008C0566">
        <w:rPr>
          <w:rFonts w:asciiTheme="minorHAnsi" w:hAnsiTheme="minorHAnsi"/>
          <w:b/>
          <w:sz w:val="32"/>
          <w:szCs w:val="32"/>
        </w:rPr>
        <w:t xml:space="preserve"> the Climate Conference -- </w:t>
      </w:r>
      <w:r w:rsidR="008C0566">
        <w:rPr>
          <w:rFonts w:asciiTheme="minorHAnsi" w:hAnsiTheme="minorHAnsi"/>
          <w:b/>
          <w:sz w:val="32"/>
          <w:szCs w:val="32"/>
        </w:rPr>
        <w:t>COP 21</w:t>
      </w:r>
    </w:p>
    <w:p w:rsidR="008C0566" w:rsidRDefault="008C0566" w:rsidP="002D1822">
      <w:pPr>
        <w:spacing w:line="360" w:lineRule="auto"/>
        <w:rPr>
          <w:rFonts w:asciiTheme="minorHAnsi" w:hAnsiTheme="minorHAnsi"/>
          <w:b/>
          <w:sz w:val="32"/>
          <w:szCs w:val="32"/>
        </w:rPr>
      </w:pPr>
    </w:p>
    <w:p w:rsidR="002D1822" w:rsidRDefault="002D1822" w:rsidP="001D439B">
      <w:pPr>
        <w:pStyle w:val="ListParagraph"/>
        <w:numPr>
          <w:ilvl w:val="0"/>
          <w:numId w:val="13"/>
        </w:numPr>
        <w:rPr>
          <w:rFonts w:asciiTheme="minorHAnsi" w:hAnsiTheme="minorHAnsi"/>
          <w:b/>
        </w:rPr>
      </w:pPr>
      <w:r w:rsidRPr="006478EA">
        <w:rPr>
          <w:rFonts w:asciiTheme="minorHAnsi" w:hAnsiTheme="minorHAnsi"/>
          <w:b/>
        </w:rPr>
        <w:t xml:space="preserve">The climate agreement must </w:t>
      </w:r>
      <w:r w:rsidR="006478EA">
        <w:rPr>
          <w:rFonts w:asciiTheme="minorHAnsi" w:hAnsiTheme="minorHAnsi"/>
          <w:b/>
        </w:rPr>
        <w:t xml:space="preserve">reflect that gender equality, </w:t>
      </w:r>
      <w:r w:rsidR="006478EA" w:rsidRPr="006478EA">
        <w:rPr>
          <w:rFonts w:asciiTheme="minorHAnsi" w:hAnsiTheme="minorHAnsi"/>
          <w:b/>
        </w:rPr>
        <w:t xml:space="preserve">women’s empowerment </w:t>
      </w:r>
      <w:r w:rsidR="006478EA">
        <w:rPr>
          <w:rFonts w:asciiTheme="minorHAnsi" w:hAnsiTheme="minorHAnsi"/>
          <w:b/>
        </w:rPr>
        <w:t>and the full and equal participation of women are crucial and indispensable to transformational climate response and action</w:t>
      </w:r>
    </w:p>
    <w:p w:rsidR="001D439B" w:rsidRPr="006478EA" w:rsidRDefault="001D439B" w:rsidP="001D439B">
      <w:pPr>
        <w:pStyle w:val="ListParagraph"/>
        <w:ind w:left="360"/>
        <w:rPr>
          <w:rFonts w:asciiTheme="minorHAnsi" w:hAnsiTheme="minorHAnsi"/>
          <w:b/>
        </w:rPr>
      </w:pPr>
    </w:p>
    <w:p w:rsidR="001D439B" w:rsidRPr="009F30B2" w:rsidRDefault="009B7255" w:rsidP="00D23655">
      <w:pPr>
        <w:pStyle w:val="ListParagraph"/>
        <w:spacing w:after="120" w:line="259" w:lineRule="auto"/>
        <w:ind w:left="360"/>
        <w:jc w:val="both"/>
        <w:rPr>
          <w:rFonts w:asciiTheme="minorHAnsi" w:hAnsiTheme="minorHAnsi"/>
        </w:rPr>
      </w:pPr>
      <w:r w:rsidRPr="009F30B2">
        <w:rPr>
          <w:rFonts w:asciiTheme="minorHAnsi" w:hAnsiTheme="minorHAnsi" w:cs="Mx«ï'1"/>
        </w:rPr>
        <w:t>Parties to the UN</w:t>
      </w:r>
      <w:r w:rsidR="008C0566" w:rsidRPr="009F30B2">
        <w:rPr>
          <w:rFonts w:asciiTheme="minorHAnsi" w:hAnsiTheme="minorHAnsi" w:cs="Mx«ï'1"/>
        </w:rPr>
        <w:t xml:space="preserve"> Framework Convention on Climate Change (UN</w:t>
      </w:r>
      <w:r w:rsidRPr="009F30B2">
        <w:rPr>
          <w:rFonts w:asciiTheme="minorHAnsi" w:hAnsiTheme="minorHAnsi" w:cs="Mx«ï'1"/>
        </w:rPr>
        <w:t>FCCC</w:t>
      </w:r>
      <w:r w:rsidR="008C0566" w:rsidRPr="009F30B2">
        <w:rPr>
          <w:rFonts w:asciiTheme="minorHAnsi" w:hAnsiTheme="minorHAnsi" w:cs="Mx«ï'1"/>
        </w:rPr>
        <w:t>)</w:t>
      </w:r>
      <w:r w:rsidRPr="009F30B2">
        <w:rPr>
          <w:rFonts w:asciiTheme="minorHAnsi" w:hAnsiTheme="minorHAnsi" w:cs="Mx«ï'1"/>
        </w:rPr>
        <w:t xml:space="preserve"> have adopted a growing number of gender-related mandates</w:t>
      </w:r>
      <w:r w:rsidR="006478EA" w:rsidRPr="009F30B2">
        <w:rPr>
          <w:rFonts w:asciiTheme="minorHAnsi" w:hAnsiTheme="minorHAnsi" w:cs="Mx«ï'1"/>
        </w:rPr>
        <w:t xml:space="preserve"> including </w:t>
      </w:r>
      <w:r w:rsidR="006478EA" w:rsidRPr="009F30B2">
        <w:rPr>
          <w:rFonts w:asciiTheme="minorHAnsi" w:hAnsiTheme="minorHAnsi" w:cs="Cambria"/>
        </w:rPr>
        <w:t>Decision 1/CP.16</w:t>
      </w:r>
      <w:r w:rsidR="001D439B" w:rsidRPr="009F30B2">
        <w:rPr>
          <w:rFonts w:asciiTheme="minorHAnsi" w:hAnsiTheme="minorHAnsi" w:cs="Cambria"/>
        </w:rPr>
        <w:t xml:space="preserve"> (Shared Vision, COP 16)</w:t>
      </w:r>
      <w:r w:rsidR="006478EA" w:rsidRPr="009F30B2">
        <w:rPr>
          <w:rFonts w:asciiTheme="minorHAnsi" w:hAnsiTheme="minorHAnsi" w:cs="Cambria"/>
        </w:rPr>
        <w:t xml:space="preserve"> </w:t>
      </w:r>
      <w:r w:rsidR="006478EA" w:rsidRPr="009F30B2">
        <w:rPr>
          <w:rFonts w:asciiTheme="minorHAnsi" w:hAnsiTheme="minorHAnsi" w:cs="Cambria"/>
        </w:rPr>
        <w:t>which affirmed that</w:t>
      </w:r>
      <w:r w:rsidR="006478EA" w:rsidRPr="009F30B2">
        <w:rPr>
          <w:rFonts w:asciiTheme="minorHAnsi" w:hAnsiTheme="minorHAnsi" w:cs="Cambria"/>
        </w:rPr>
        <w:t xml:space="preserve"> “</w:t>
      </w:r>
      <w:r w:rsidR="006478EA" w:rsidRPr="009F30B2">
        <w:rPr>
          <w:rFonts w:asciiTheme="minorHAnsi" w:hAnsiTheme="minorHAnsi" w:cs="Cambria"/>
          <w:b/>
          <w:bCs/>
          <w:i/>
          <w:iCs/>
        </w:rPr>
        <w:t>gender equality</w:t>
      </w:r>
      <w:r w:rsidR="006478EA" w:rsidRPr="009F30B2">
        <w:rPr>
          <w:rFonts w:asciiTheme="minorHAnsi" w:hAnsiTheme="minorHAnsi" w:cs="Cambria"/>
        </w:rPr>
        <w:t xml:space="preserve"> </w:t>
      </w:r>
      <w:r w:rsidR="006478EA" w:rsidRPr="009F30B2">
        <w:rPr>
          <w:rFonts w:asciiTheme="minorHAnsi" w:hAnsiTheme="minorHAnsi" w:cs="Cambria"/>
          <w:i/>
          <w:iCs/>
        </w:rPr>
        <w:t>and the</w:t>
      </w:r>
      <w:r w:rsidR="006478EA" w:rsidRPr="009F30B2">
        <w:rPr>
          <w:rFonts w:asciiTheme="minorHAnsi" w:hAnsiTheme="minorHAnsi" w:cs="Cambria"/>
        </w:rPr>
        <w:t xml:space="preserve"> </w:t>
      </w:r>
      <w:r w:rsidR="006478EA" w:rsidRPr="009F30B2">
        <w:rPr>
          <w:rFonts w:asciiTheme="minorHAnsi" w:hAnsiTheme="minorHAnsi" w:cs="Cambria"/>
          <w:b/>
          <w:bCs/>
          <w:i/>
          <w:iCs/>
        </w:rPr>
        <w:t xml:space="preserve">effective participation of women </w:t>
      </w:r>
      <w:r w:rsidR="006478EA" w:rsidRPr="009F30B2">
        <w:rPr>
          <w:rFonts w:asciiTheme="minorHAnsi" w:hAnsiTheme="minorHAnsi" w:cs="Cambria"/>
          <w:i/>
          <w:iCs/>
        </w:rPr>
        <w:t>are important for effective action on all aspects of climate</w:t>
      </w:r>
      <w:r w:rsidR="006478EA" w:rsidRPr="009F30B2">
        <w:rPr>
          <w:rFonts w:asciiTheme="minorHAnsi" w:hAnsiTheme="minorHAnsi" w:cs="Cambria"/>
          <w:b/>
          <w:bCs/>
          <w:i/>
          <w:iCs/>
        </w:rPr>
        <w:t xml:space="preserve"> </w:t>
      </w:r>
      <w:r w:rsidR="006478EA" w:rsidRPr="009F30B2">
        <w:rPr>
          <w:rFonts w:asciiTheme="minorHAnsi" w:hAnsiTheme="minorHAnsi" w:cs="Cambria"/>
          <w:i/>
          <w:iCs/>
        </w:rPr>
        <w:t>change.</w:t>
      </w:r>
      <w:r w:rsidR="006478EA" w:rsidRPr="009F30B2">
        <w:rPr>
          <w:rFonts w:asciiTheme="minorHAnsi" w:hAnsiTheme="minorHAnsi" w:cs="Cambria"/>
        </w:rPr>
        <w:t>”</w:t>
      </w:r>
      <w:r w:rsidR="001D439B" w:rsidRPr="009F30B2">
        <w:rPr>
          <w:rFonts w:asciiTheme="minorHAnsi" w:hAnsiTheme="minorHAnsi" w:cs="Cambria"/>
        </w:rPr>
        <w:t xml:space="preserve"> G</w:t>
      </w:r>
      <w:r w:rsidR="001D439B" w:rsidRPr="009F30B2">
        <w:rPr>
          <w:rFonts w:asciiTheme="minorHAnsi" w:hAnsiTheme="minorHAnsi"/>
        </w:rPr>
        <w:t>ender equality</w:t>
      </w:r>
      <w:r w:rsidR="001D439B" w:rsidRPr="009F30B2">
        <w:rPr>
          <w:rFonts w:asciiTheme="minorHAnsi" w:hAnsiTheme="minorHAnsi" w:cs="Cambria"/>
        </w:rPr>
        <w:t xml:space="preserve"> and climate change is now a standing </w:t>
      </w:r>
      <w:r w:rsidR="001D439B" w:rsidRPr="009F30B2">
        <w:rPr>
          <w:rFonts w:asciiTheme="minorHAnsi" w:hAnsiTheme="minorHAnsi"/>
        </w:rPr>
        <w:t>agenda item in the annual COPs</w:t>
      </w:r>
      <w:r w:rsidR="001D439B" w:rsidRPr="009F30B2">
        <w:rPr>
          <w:rFonts w:asciiTheme="minorHAnsi" w:hAnsiTheme="minorHAnsi" w:cs="Cambria"/>
        </w:rPr>
        <w:t xml:space="preserve"> as mandated by the decision on </w:t>
      </w:r>
      <w:r w:rsidR="001D439B" w:rsidRPr="009F30B2">
        <w:rPr>
          <w:rFonts w:asciiTheme="minorHAnsi" w:hAnsiTheme="minorHAnsi"/>
          <w:i/>
        </w:rPr>
        <w:t>‘</w:t>
      </w:r>
      <w:r w:rsidR="001D439B" w:rsidRPr="009F30B2">
        <w:rPr>
          <w:rFonts w:asciiTheme="minorHAnsi" w:hAnsiTheme="minorHAnsi"/>
          <w:bCs/>
          <w:i/>
        </w:rPr>
        <w:t>Promoting gender balance and improving the participation of</w:t>
      </w:r>
      <w:r w:rsidR="001D439B" w:rsidRPr="009F30B2">
        <w:rPr>
          <w:rFonts w:asciiTheme="minorHAnsi" w:hAnsiTheme="minorHAnsi"/>
          <w:bCs/>
          <w:i/>
        </w:rPr>
        <w:t xml:space="preserve"> women in UNFCCC negotiation’</w:t>
      </w:r>
      <w:r w:rsidR="001D439B" w:rsidRPr="009F30B2">
        <w:rPr>
          <w:rFonts w:asciiTheme="minorHAnsi" w:hAnsiTheme="minorHAnsi"/>
        </w:rPr>
        <w:t xml:space="preserve">. In 2014, </w:t>
      </w:r>
      <w:r w:rsidR="001D439B" w:rsidRPr="009F30B2">
        <w:rPr>
          <w:rFonts w:asciiTheme="minorHAnsi" w:hAnsiTheme="minorHAnsi"/>
        </w:rPr>
        <w:t xml:space="preserve">Parties adopted the </w:t>
      </w:r>
      <w:hyperlink r:id="rId9" w:history="1">
        <w:r w:rsidR="001D439B" w:rsidRPr="009F30B2">
          <w:rPr>
            <w:rStyle w:val="Hyperlink"/>
            <w:rFonts w:asciiTheme="minorHAnsi" w:hAnsiTheme="minorHAnsi"/>
          </w:rPr>
          <w:t xml:space="preserve">Lima Work </w:t>
        </w:r>
        <w:proofErr w:type="spellStart"/>
        <w:r w:rsidR="001D439B" w:rsidRPr="009F30B2">
          <w:rPr>
            <w:rStyle w:val="Hyperlink"/>
            <w:rFonts w:asciiTheme="minorHAnsi" w:hAnsiTheme="minorHAnsi"/>
          </w:rPr>
          <w:t>Programme</w:t>
        </w:r>
        <w:proofErr w:type="spellEnd"/>
        <w:r w:rsidR="001D439B" w:rsidRPr="009F30B2">
          <w:rPr>
            <w:rStyle w:val="Hyperlink"/>
            <w:rFonts w:asciiTheme="minorHAnsi" w:hAnsiTheme="minorHAnsi"/>
          </w:rPr>
          <w:t xml:space="preserve"> on Gender</w:t>
        </w:r>
      </w:hyperlink>
      <w:r w:rsidR="001D439B" w:rsidRPr="009F30B2">
        <w:rPr>
          <w:rFonts w:asciiTheme="minorHAnsi" w:hAnsiTheme="minorHAnsi"/>
        </w:rPr>
        <w:t xml:space="preserve">, which </w:t>
      </w:r>
      <w:r w:rsidR="001D439B" w:rsidRPr="009F30B2">
        <w:rPr>
          <w:rFonts w:asciiTheme="minorHAnsi" w:hAnsiTheme="minorHAnsi"/>
        </w:rPr>
        <w:t xml:space="preserve">contains a set of mandates for </w:t>
      </w:r>
      <w:r w:rsidR="001D439B" w:rsidRPr="009F30B2">
        <w:rPr>
          <w:rFonts w:asciiTheme="minorHAnsi" w:hAnsiTheme="minorHAnsi"/>
        </w:rPr>
        <w:t>Parties</w:t>
      </w:r>
      <w:r w:rsidR="001D439B" w:rsidRPr="009F30B2">
        <w:rPr>
          <w:rFonts w:asciiTheme="minorHAnsi" w:hAnsiTheme="minorHAnsi"/>
        </w:rPr>
        <w:t xml:space="preserve"> to “</w:t>
      </w:r>
      <w:r w:rsidR="001D439B" w:rsidRPr="009F30B2">
        <w:rPr>
          <w:rFonts w:asciiTheme="minorHAnsi" w:hAnsiTheme="minorHAnsi"/>
        </w:rPr>
        <w:t xml:space="preserve">promote gender sensitivity in developing and implementing climate policy and achieve gender-responsive climate policy in all relevant activities under the Convention.” </w:t>
      </w:r>
    </w:p>
    <w:p w:rsidR="00D23655" w:rsidRPr="009F30B2" w:rsidRDefault="00D23655" w:rsidP="00D23655">
      <w:pPr>
        <w:pStyle w:val="ListParagraph"/>
        <w:spacing w:after="120" w:line="259" w:lineRule="auto"/>
        <w:ind w:left="360"/>
        <w:jc w:val="both"/>
        <w:rPr>
          <w:rFonts w:asciiTheme="minorHAnsi" w:hAnsiTheme="minorHAnsi" w:cs="Mx«ï'1"/>
        </w:rPr>
      </w:pPr>
    </w:p>
    <w:p w:rsidR="009B7255" w:rsidRDefault="009B7255" w:rsidP="00D23655">
      <w:pPr>
        <w:pStyle w:val="ListParagraph"/>
        <w:spacing w:after="120" w:line="259" w:lineRule="auto"/>
        <w:ind w:left="360"/>
        <w:jc w:val="both"/>
        <w:rPr>
          <w:rFonts w:asciiTheme="minorHAnsi" w:hAnsiTheme="minorHAnsi" w:cs="Mx«ï'1"/>
        </w:rPr>
      </w:pPr>
      <w:r w:rsidRPr="008C0566">
        <w:rPr>
          <w:rFonts w:asciiTheme="minorHAnsi" w:hAnsiTheme="minorHAnsi" w:cs="Mx«ï'1"/>
        </w:rPr>
        <w:t>The</w:t>
      </w:r>
      <w:r w:rsidR="00C0039B">
        <w:rPr>
          <w:rFonts w:asciiTheme="minorHAnsi" w:hAnsiTheme="minorHAnsi" w:cs="Mx«ï'1"/>
        </w:rPr>
        <w:t xml:space="preserve"> above</w:t>
      </w:r>
      <w:r w:rsidRPr="008C0566">
        <w:rPr>
          <w:rFonts w:asciiTheme="minorHAnsi" w:hAnsiTheme="minorHAnsi" w:cs="Mx«ï'1"/>
        </w:rPr>
        <w:t xml:space="preserve"> </w:t>
      </w:r>
      <w:r w:rsidR="00D23655">
        <w:rPr>
          <w:rFonts w:asciiTheme="minorHAnsi" w:hAnsiTheme="minorHAnsi" w:cs="Mx«ï'1"/>
        </w:rPr>
        <w:t xml:space="preserve">mandates </w:t>
      </w:r>
      <w:r w:rsidRPr="008C0566">
        <w:rPr>
          <w:rFonts w:asciiTheme="minorHAnsi" w:hAnsiTheme="minorHAnsi" w:cs="Mx«ï'1"/>
        </w:rPr>
        <w:t xml:space="preserve">provide a strong and solid basis for seizing the opportunity at COP 21 for decisive action that promotes gender equality and the empowerment of women in the context of climate change. </w:t>
      </w:r>
      <w:r w:rsidR="00651E07" w:rsidRPr="008C0566">
        <w:rPr>
          <w:rFonts w:asciiTheme="minorHAnsi" w:hAnsiTheme="minorHAnsi" w:cs="Mx«ï'1"/>
        </w:rPr>
        <w:t>Applying a gender lens to climate change reveals solutions to seemingly intractable problems. Notably, systematically addressing the persistent gender gaps in the response to climate change is one of the most effective mechanisms to build climate resilience.</w:t>
      </w:r>
    </w:p>
    <w:p w:rsidR="002D1822" w:rsidRPr="008C0566" w:rsidRDefault="002D1822" w:rsidP="002D1822">
      <w:pPr>
        <w:pStyle w:val="ListParagraph"/>
        <w:spacing w:after="160" w:line="259" w:lineRule="auto"/>
        <w:ind w:left="360"/>
        <w:jc w:val="both"/>
        <w:rPr>
          <w:rFonts w:asciiTheme="minorHAnsi" w:hAnsiTheme="minorHAnsi" w:cs="Mx«ï'1"/>
        </w:rPr>
      </w:pPr>
    </w:p>
    <w:p w:rsidR="004618A4" w:rsidRDefault="00D23655" w:rsidP="00E039C4">
      <w:pPr>
        <w:pStyle w:val="ListParagraph"/>
        <w:numPr>
          <w:ilvl w:val="0"/>
          <w:numId w:val="6"/>
        </w:numPr>
        <w:spacing w:before="120" w:after="120" w:line="259" w:lineRule="auto"/>
        <w:jc w:val="both"/>
        <w:rPr>
          <w:rFonts w:asciiTheme="minorHAnsi" w:hAnsiTheme="minorHAnsi"/>
        </w:rPr>
      </w:pPr>
      <w:r w:rsidRPr="00D23655">
        <w:rPr>
          <w:rFonts w:asciiTheme="minorHAnsi" w:hAnsiTheme="minorHAnsi"/>
          <w:b/>
        </w:rPr>
        <w:t>Existing gender inequalities constrain w</w:t>
      </w:r>
      <w:r w:rsidR="00466CCF" w:rsidRPr="00D23655">
        <w:rPr>
          <w:rFonts w:asciiTheme="minorHAnsi" w:hAnsiTheme="minorHAnsi"/>
          <w:b/>
        </w:rPr>
        <w:t>omen and girls</w:t>
      </w:r>
      <w:r w:rsidRPr="00D23655">
        <w:rPr>
          <w:rFonts w:asciiTheme="minorHAnsi" w:hAnsiTheme="minorHAnsi"/>
          <w:b/>
        </w:rPr>
        <w:t>’</w:t>
      </w:r>
      <w:r w:rsidR="00466CCF" w:rsidRPr="00D23655">
        <w:rPr>
          <w:rFonts w:asciiTheme="minorHAnsi" w:hAnsiTheme="minorHAnsi"/>
          <w:b/>
        </w:rPr>
        <w:t xml:space="preserve"> </w:t>
      </w:r>
      <w:r w:rsidRPr="00D23655">
        <w:rPr>
          <w:rFonts w:asciiTheme="minorHAnsi" w:hAnsiTheme="minorHAnsi"/>
          <w:b/>
        </w:rPr>
        <w:t xml:space="preserve">potential to be leaders in climate responses. </w:t>
      </w:r>
      <w:r w:rsidRPr="00D23655">
        <w:rPr>
          <w:rFonts w:asciiTheme="minorHAnsi" w:hAnsiTheme="minorHAnsi"/>
        </w:rPr>
        <w:t xml:space="preserve">As gender inequalities limits women and girls’ </w:t>
      </w:r>
      <w:r w:rsidRPr="00D23655">
        <w:rPr>
          <w:rFonts w:asciiTheme="minorHAnsi" w:hAnsiTheme="minorHAnsi"/>
          <w:b/>
        </w:rPr>
        <w:t>ability to adapt and respond to climate change impacts</w:t>
      </w:r>
      <w:r w:rsidRPr="00D23655">
        <w:rPr>
          <w:rFonts w:asciiTheme="minorHAnsi" w:hAnsiTheme="minorHAnsi"/>
        </w:rPr>
        <w:t xml:space="preserve">, they often </w:t>
      </w:r>
      <w:r>
        <w:rPr>
          <w:rFonts w:asciiTheme="minorHAnsi" w:hAnsiTheme="minorHAnsi"/>
        </w:rPr>
        <w:t>bear the brunt of the impacts.</w:t>
      </w:r>
      <w:r w:rsidR="00952E7C" w:rsidRPr="00D23655">
        <w:rPr>
          <w:rFonts w:asciiTheme="minorHAnsi" w:hAnsiTheme="minorHAnsi"/>
          <w:b/>
        </w:rPr>
        <w:t xml:space="preserve"> </w:t>
      </w:r>
      <w:r w:rsidRPr="008379D8">
        <w:rPr>
          <w:rFonts w:asciiTheme="minorHAnsi" w:hAnsiTheme="minorHAnsi"/>
        </w:rPr>
        <w:t>The disproportionate effects of energy poverty on women and girls limits their access to education and employment due to the time spent on biomass collection. They also face significant health and safety risks from household air pollution, carrying heavy fuel loads and the lack of exterior lighting. Women are more at risk of death in disasters. For example, more than 70% of the fatalities from the 2004 Asian tsunami were women</w:t>
      </w:r>
      <w:r>
        <w:rPr>
          <w:rFonts w:asciiTheme="minorHAnsi" w:hAnsiTheme="minorHAnsi"/>
        </w:rPr>
        <w:t>.</w:t>
      </w:r>
      <w:r>
        <w:rPr>
          <w:rFonts w:asciiTheme="minorHAnsi" w:hAnsiTheme="minorHAnsi"/>
        </w:rPr>
        <w:t xml:space="preserve"> </w:t>
      </w:r>
      <w:r w:rsidR="00BF6FF6" w:rsidRPr="00D23655">
        <w:rPr>
          <w:rFonts w:asciiTheme="minorHAnsi" w:hAnsiTheme="minorHAnsi"/>
        </w:rPr>
        <w:t>Gender inequalities</w:t>
      </w:r>
      <w:r>
        <w:rPr>
          <w:rFonts w:asciiTheme="minorHAnsi" w:hAnsiTheme="minorHAnsi"/>
        </w:rPr>
        <w:t>, in turn,</w:t>
      </w:r>
      <w:r w:rsidR="00BF6FF6" w:rsidRPr="00D23655">
        <w:rPr>
          <w:rFonts w:asciiTheme="minorHAnsi" w:hAnsiTheme="minorHAnsi"/>
        </w:rPr>
        <w:t xml:space="preserve"> are </w:t>
      </w:r>
      <w:r>
        <w:rPr>
          <w:rFonts w:asciiTheme="minorHAnsi" w:hAnsiTheme="minorHAnsi"/>
        </w:rPr>
        <w:t xml:space="preserve">further </w:t>
      </w:r>
      <w:r w:rsidR="00756F6D" w:rsidRPr="00D23655">
        <w:rPr>
          <w:rFonts w:asciiTheme="minorHAnsi" w:hAnsiTheme="minorHAnsi"/>
        </w:rPr>
        <w:t xml:space="preserve">exacerbated </w:t>
      </w:r>
      <w:r w:rsidR="00BF6FF6" w:rsidRPr="00D23655">
        <w:rPr>
          <w:rFonts w:asciiTheme="minorHAnsi" w:hAnsiTheme="minorHAnsi"/>
        </w:rPr>
        <w:t xml:space="preserve">by climate-related hazards, resulting in what </w:t>
      </w:r>
      <w:r w:rsidR="00BF6FF6" w:rsidRPr="00D23655">
        <w:rPr>
          <w:rFonts w:asciiTheme="minorHAnsi" w:hAnsiTheme="minorHAnsi"/>
        </w:rPr>
        <w:lastRenderedPageBreak/>
        <w:t>the IPCC found to be “higher workloads, occupational hazards indoors and outdoors, psychological and emotional stress, and mortality</w:t>
      </w:r>
      <w:r w:rsidR="004618A4" w:rsidRPr="00D23655">
        <w:rPr>
          <w:rFonts w:asciiTheme="minorHAnsi" w:hAnsiTheme="minorHAnsi"/>
        </w:rPr>
        <w:t>” for women as compared to men.</w:t>
      </w:r>
      <w:r w:rsidR="00C73FC6" w:rsidRPr="00D23655">
        <w:rPr>
          <w:rFonts w:asciiTheme="minorHAnsi" w:hAnsiTheme="minorHAnsi"/>
        </w:rPr>
        <w:t xml:space="preserve"> </w:t>
      </w:r>
    </w:p>
    <w:p w:rsidR="009F30B2" w:rsidRPr="00D23655" w:rsidRDefault="009F30B2" w:rsidP="009F30B2">
      <w:pPr>
        <w:pStyle w:val="ListParagraph"/>
        <w:spacing w:before="120" w:after="120" w:line="259" w:lineRule="auto"/>
        <w:ind w:left="360"/>
        <w:jc w:val="both"/>
        <w:rPr>
          <w:rFonts w:asciiTheme="minorHAnsi" w:hAnsiTheme="minorHAnsi"/>
        </w:rPr>
      </w:pPr>
    </w:p>
    <w:p w:rsidR="005615E3" w:rsidRPr="00C73FC6" w:rsidRDefault="00466CCF" w:rsidP="00E039C4">
      <w:pPr>
        <w:pStyle w:val="ListParagraph"/>
        <w:numPr>
          <w:ilvl w:val="0"/>
          <w:numId w:val="6"/>
        </w:numPr>
        <w:spacing w:before="120" w:after="120" w:line="259" w:lineRule="auto"/>
        <w:jc w:val="both"/>
        <w:rPr>
          <w:rFonts w:asciiTheme="minorHAnsi" w:hAnsiTheme="minorHAnsi"/>
        </w:rPr>
      </w:pPr>
      <w:r w:rsidRPr="005615E3">
        <w:rPr>
          <w:rFonts w:asciiTheme="minorHAnsi" w:hAnsiTheme="minorHAnsi"/>
        </w:rPr>
        <w:t xml:space="preserve">Yet, </w:t>
      </w:r>
      <w:r w:rsidRPr="00AE0E5F">
        <w:rPr>
          <w:rFonts w:asciiTheme="minorHAnsi" w:hAnsiTheme="minorHAnsi"/>
          <w:b/>
        </w:rPr>
        <w:t xml:space="preserve">women are agents </w:t>
      </w:r>
      <w:r w:rsidR="00AE0E5F">
        <w:rPr>
          <w:rFonts w:asciiTheme="minorHAnsi" w:hAnsiTheme="minorHAnsi"/>
          <w:b/>
        </w:rPr>
        <w:t xml:space="preserve">of change </w:t>
      </w:r>
      <w:r w:rsidRPr="00AE0E5F">
        <w:rPr>
          <w:rFonts w:asciiTheme="minorHAnsi" w:hAnsiTheme="minorHAnsi"/>
          <w:b/>
        </w:rPr>
        <w:t>and leaders</w:t>
      </w:r>
      <w:r w:rsidR="00AE0E5F">
        <w:rPr>
          <w:rFonts w:asciiTheme="minorHAnsi" w:hAnsiTheme="minorHAnsi"/>
          <w:b/>
        </w:rPr>
        <w:t>,</w:t>
      </w:r>
      <w:r w:rsidRPr="005615E3">
        <w:rPr>
          <w:rFonts w:asciiTheme="minorHAnsi" w:hAnsiTheme="minorHAnsi"/>
        </w:rPr>
        <w:t xml:space="preserve"> and play a critical and </w:t>
      </w:r>
      <w:r w:rsidR="00BF6FF6" w:rsidRPr="005615E3">
        <w:rPr>
          <w:rFonts w:asciiTheme="minorHAnsi" w:hAnsiTheme="minorHAnsi"/>
        </w:rPr>
        <w:t>often unrecognized</w:t>
      </w:r>
      <w:r w:rsidRPr="005615E3">
        <w:rPr>
          <w:rFonts w:asciiTheme="minorHAnsi" w:hAnsiTheme="minorHAnsi"/>
        </w:rPr>
        <w:t xml:space="preserve"> role in climate action and the management of natural resources.</w:t>
      </w:r>
      <w:r w:rsidR="004D064D" w:rsidRPr="005615E3">
        <w:rPr>
          <w:rFonts w:asciiTheme="minorHAnsi" w:hAnsiTheme="minorHAnsi"/>
        </w:rPr>
        <w:t xml:space="preserve"> </w:t>
      </w:r>
      <w:r w:rsidR="00BF6FF6" w:rsidRPr="005615E3">
        <w:rPr>
          <w:rFonts w:asciiTheme="minorHAnsi" w:hAnsiTheme="minorHAnsi"/>
        </w:rPr>
        <w:t xml:space="preserve">Women’s agency is reflected in their knowledge of and leadership in sustainable natural resources management and in spearheading sustainable practices at the household, community, national and global levels to respond </w:t>
      </w:r>
      <w:r w:rsidR="0067486C" w:rsidRPr="005615E3">
        <w:rPr>
          <w:rFonts w:asciiTheme="minorHAnsi" w:hAnsiTheme="minorHAnsi"/>
        </w:rPr>
        <w:t xml:space="preserve">to and </w:t>
      </w:r>
      <w:r w:rsidR="00BF6FF6" w:rsidRPr="005615E3">
        <w:rPr>
          <w:rFonts w:asciiTheme="minorHAnsi" w:hAnsiTheme="minorHAnsi"/>
        </w:rPr>
        <w:t xml:space="preserve">find common solutions to climate-related crises. </w:t>
      </w:r>
      <w:r w:rsidR="00C73FC6" w:rsidRPr="00163FA6">
        <w:rPr>
          <w:rFonts w:asciiTheme="minorHAnsi" w:hAnsiTheme="minorHAnsi"/>
        </w:rPr>
        <w:t>In most developing countries, women are the primary household energy managers and can also be powerful agents of change in the transition to sustainable energy. Women entrepreneurs have enormous potential to create distribution and service networks in rural areas, helping to lower the cost of customer acquisition and increasing access to sustainable energy. However, this potential to accelerate the energy transition is vastly under-utilized.</w:t>
      </w:r>
    </w:p>
    <w:p w:rsidR="005615E3" w:rsidRPr="005615E3" w:rsidRDefault="005615E3" w:rsidP="00E039C4">
      <w:pPr>
        <w:pStyle w:val="ListParagraph"/>
        <w:spacing w:before="120" w:after="120" w:line="259" w:lineRule="auto"/>
        <w:ind w:left="360"/>
        <w:jc w:val="both"/>
        <w:rPr>
          <w:rFonts w:asciiTheme="minorHAnsi" w:hAnsiTheme="minorHAnsi"/>
        </w:rPr>
      </w:pPr>
    </w:p>
    <w:p w:rsidR="00D34BE8" w:rsidRDefault="00466CCF" w:rsidP="00E039C4">
      <w:pPr>
        <w:pStyle w:val="ListParagraph"/>
        <w:numPr>
          <w:ilvl w:val="0"/>
          <w:numId w:val="6"/>
        </w:numPr>
        <w:spacing w:before="120" w:after="120" w:line="259" w:lineRule="auto"/>
        <w:jc w:val="both"/>
        <w:rPr>
          <w:rFonts w:asciiTheme="minorHAnsi" w:hAnsiTheme="minorHAnsi"/>
        </w:rPr>
      </w:pPr>
      <w:r w:rsidRPr="00516CB1">
        <w:rPr>
          <w:rFonts w:asciiTheme="minorHAnsi" w:hAnsiTheme="minorHAnsi" w:cs="Mx«ï'1"/>
        </w:rPr>
        <w:t xml:space="preserve">The </w:t>
      </w:r>
      <w:r w:rsidRPr="00516CB1">
        <w:rPr>
          <w:rFonts w:asciiTheme="minorHAnsi" w:hAnsiTheme="minorHAnsi" w:cs="Mx«ï'1"/>
          <w:b/>
        </w:rPr>
        <w:t>climate agreement</w:t>
      </w:r>
      <w:r w:rsidRPr="00516CB1">
        <w:rPr>
          <w:rFonts w:asciiTheme="minorHAnsi" w:hAnsiTheme="minorHAnsi" w:cs="Mx«ï'1"/>
        </w:rPr>
        <w:t xml:space="preserve"> to </w:t>
      </w:r>
      <w:r w:rsidR="00963FC3">
        <w:rPr>
          <w:rFonts w:asciiTheme="minorHAnsi" w:hAnsiTheme="minorHAnsi" w:cs="Mx«ï'1"/>
        </w:rPr>
        <w:t xml:space="preserve">be adopted in Paris in December </w:t>
      </w:r>
      <w:r w:rsidR="00756F6D" w:rsidRPr="00516CB1">
        <w:rPr>
          <w:rFonts w:asciiTheme="minorHAnsi" w:hAnsiTheme="minorHAnsi" w:cs="Mx«ï'1"/>
        </w:rPr>
        <w:t>2015</w:t>
      </w:r>
      <w:r w:rsidR="00516432" w:rsidRPr="00516CB1">
        <w:rPr>
          <w:rFonts w:asciiTheme="minorHAnsi" w:hAnsiTheme="minorHAnsi" w:cs="Mx«ï'1"/>
        </w:rPr>
        <w:t xml:space="preserve"> </w:t>
      </w:r>
      <w:r w:rsidR="00D34BE8" w:rsidRPr="00D34BE8">
        <w:rPr>
          <w:rFonts w:asciiTheme="minorHAnsi" w:hAnsiTheme="minorHAnsi" w:cs="Mx«ï'1"/>
          <w:b/>
        </w:rPr>
        <w:t>must be coherent with and reflect the outcomes of the Addis Ababa Action Agenda on Financing for Development and the 2030 Agenda for Sustainable Development</w:t>
      </w:r>
      <w:r w:rsidR="00D34BE8" w:rsidRPr="00516CB1">
        <w:rPr>
          <w:rFonts w:asciiTheme="minorHAnsi" w:hAnsiTheme="minorHAnsi" w:cs="Mx«ï'1"/>
        </w:rPr>
        <w:t xml:space="preserve"> – outcomes which strong</w:t>
      </w:r>
      <w:r w:rsidR="00D34BE8">
        <w:rPr>
          <w:rFonts w:asciiTheme="minorHAnsi" w:hAnsiTheme="minorHAnsi" w:cs="Mx«ï'1"/>
        </w:rPr>
        <w:t xml:space="preserve">ly committed </w:t>
      </w:r>
      <w:r w:rsidR="00D34BE8" w:rsidRPr="00516CB1">
        <w:rPr>
          <w:rFonts w:asciiTheme="minorHAnsi" w:hAnsiTheme="minorHAnsi" w:cs="Mx«ï'1"/>
        </w:rPr>
        <w:t xml:space="preserve">to achieve gender equality and empower </w:t>
      </w:r>
      <w:r w:rsidR="00D34BE8">
        <w:rPr>
          <w:rFonts w:asciiTheme="minorHAnsi" w:hAnsiTheme="minorHAnsi" w:cs="Mx«ï'1"/>
        </w:rPr>
        <w:t xml:space="preserve">all </w:t>
      </w:r>
      <w:r w:rsidR="00D34BE8" w:rsidRPr="00516CB1">
        <w:rPr>
          <w:rFonts w:asciiTheme="minorHAnsi" w:hAnsiTheme="minorHAnsi" w:cs="Mx«ï'1"/>
        </w:rPr>
        <w:t xml:space="preserve">women and girls, including through increased investments to close the gender gap. </w:t>
      </w:r>
      <w:r w:rsidR="00D34BE8" w:rsidRPr="00516CB1">
        <w:rPr>
          <w:rFonts w:asciiTheme="minorHAnsi" w:hAnsiTheme="minorHAnsi"/>
          <w:bCs/>
          <w:iCs/>
        </w:rPr>
        <w:t xml:space="preserve">Goal 13 of the </w:t>
      </w:r>
      <w:r w:rsidR="00D34BE8" w:rsidRPr="00516CB1">
        <w:rPr>
          <w:rFonts w:asciiTheme="minorHAnsi" w:hAnsiTheme="minorHAnsi" w:cs="Mx«ï'1"/>
        </w:rPr>
        <w:t>2030 Agenda for Sustainable Development’s on</w:t>
      </w:r>
      <w:r w:rsidR="00D34BE8" w:rsidRPr="00516CB1">
        <w:rPr>
          <w:rFonts w:asciiTheme="minorHAnsi" w:hAnsiTheme="minorHAnsi"/>
          <w:bCs/>
          <w:i/>
          <w:iCs/>
        </w:rPr>
        <w:t xml:space="preserve"> climate change </w:t>
      </w:r>
      <w:r w:rsidR="00D34BE8">
        <w:rPr>
          <w:rFonts w:asciiTheme="minorHAnsi" w:hAnsiTheme="minorHAnsi"/>
          <w:bCs/>
          <w:iCs/>
        </w:rPr>
        <w:t xml:space="preserve">includes target </w:t>
      </w:r>
      <w:proofErr w:type="gramStart"/>
      <w:r w:rsidR="00D34BE8" w:rsidRPr="00516CB1">
        <w:rPr>
          <w:rFonts w:asciiTheme="minorHAnsi" w:hAnsiTheme="minorHAnsi"/>
        </w:rPr>
        <w:t xml:space="preserve">13.b  </w:t>
      </w:r>
      <w:r w:rsidR="00D34BE8">
        <w:rPr>
          <w:rFonts w:asciiTheme="minorHAnsi" w:hAnsiTheme="minorHAnsi"/>
        </w:rPr>
        <w:t>which</w:t>
      </w:r>
      <w:proofErr w:type="gramEnd"/>
      <w:r w:rsidR="00D34BE8">
        <w:rPr>
          <w:rFonts w:asciiTheme="minorHAnsi" w:hAnsiTheme="minorHAnsi"/>
        </w:rPr>
        <w:t xml:space="preserve"> </w:t>
      </w:r>
      <w:r w:rsidR="00D34BE8" w:rsidRPr="00516CB1">
        <w:rPr>
          <w:rFonts w:asciiTheme="minorHAnsi" w:hAnsiTheme="minorHAnsi"/>
        </w:rPr>
        <w:t xml:space="preserve">provides for the promotion of mechanisms for raising capacity for effective climate change-related planning and management …, “including focusing on </w:t>
      </w:r>
      <w:r w:rsidR="00D34BE8" w:rsidRPr="00516CB1">
        <w:rPr>
          <w:rFonts w:asciiTheme="minorHAnsi" w:hAnsiTheme="minorHAnsi"/>
          <w:b/>
          <w:bCs/>
        </w:rPr>
        <w:t>women</w:t>
      </w:r>
      <w:r w:rsidR="00D34BE8" w:rsidRPr="00516CB1">
        <w:rPr>
          <w:rFonts w:asciiTheme="minorHAnsi" w:hAnsiTheme="minorHAnsi"/>
        </w:rPr>
        <w:t>, youth and local and marginalized communities.”</w:t>
      </w:r>
    </w:p>
    <w:p w:rsidR="00E039C4" w:rsidRDefault="00E039C4" w:rsidP="00E039C4">
      <w:pPr>
        <w:pStyle w:val="ListParagraph"/>
        <w:spacing w:before="120" w:after="120" w:line="259" w:lineRule="auto"/>
        <w:ind w:left="360"/>
        <w:jc w:val="both"/>
        <w:rPr>
          <w:rFonts w:asciiTheme="minorHAnsi" w:hAnsiTheme="minorHAnsi" w:cs="Mx«ï'1"/>
          <w:b/>
        </w:rPr>
      </w:pPr>
    </w:p>
    <w:p w:rsidR="006478EA" w:rsidRPr="009F30B2" w:rsidRDefault="00E039C4" w:rsidP="00617DB6">
      <w:pPr>
        <w:pStyle w:val="ListParagraph"/>
        <w:numPr>
          <w:ilvl w:val="0"/>
          <w:numId w:val="6"/>
        </w:numPr>
        <w:spacing w:before="120" w:after="120" w:line="259" w:lineRule="auto"/>
        <w:jc w:val="both"/>
        <w:rPr>
          <w:rFonts w:asciiTheme="minorHAnsi" w:hAnsiTheme="minorHAnsi"/>
        </w:rPr>
      </w:pPr>
      <w:r w:rsidRPr="009F30B2">
        <w:rPr>
          <w:rFonts w:asciiTheme="minorHAnsi" w:hAnsiTheme="minorHAnsi" w:cs="Mx«ï'1"/>
        </w:rPr>
        <w:t xml:space="preserve">The </w:t>
      </w:r>
      <w:r w:rsidRPr="009F30B2">
        <w:rPr>
          <w:rFonts w:asciiTheme="minorHAnsi" w:hAnsiTheme="minorHAnsi" w:cs="Mx«ï'1"/>
          <w:b/>
        </w:rPr>
        <w:t xml:space="preserve">climate agreement must </w:t>
      </w:r>
      <w:r w:rsidR="00963FC3" w:rsidRPr="009F30B2">
        <w:rPr>
          <w:rFonts w:asciiTheme="minorHAnsi" w:hAnsiTheme="minorHAnsi" w:cs="Mx«ï'1"/>
          <w:b/>
        </w:rPr>
        <w:t>acknowledge w</w:t>
      </w:r>
      <w:r w:rsidR="00963FC3" w:rsidRPr="009F30B2">
        <w:rPr>
          <w:rFonts w:asciiTheme="minorHAnsi" w:hAnsiTheme="minorHAnsi"/>
          <w:b/>
        </w:rPr>
        <w:t xml:space="preserve">omen and girls </w:t>
      </w:r>
      <w:r w:rsidR="00963FC3" w:rsidRPr="009F30B2">
        <w:rPr>
          <w:rFonts w:asciiTheme="minorHAnsi" w:hAnsiTheme="minorHAnsi"/>
          <w:b/>
        </w:rPr>
        <w:t xml:space="preserve">as </w:t>
      </w:r>
      <w:r w:rsidR="00963FC3" w:rsidRPr="009F30B2">
        <w:rPr>
          <w:rFonts w:asciiTheme="minorHAnsi" w:hAnsiTheme="minorHAnsi"/>
          <w:b/>
        </w:rPr>
        <w:t>critical actors in addressing climate impacts</w:t>
      </w:r>
      <w:r w:rsidR="00963FC3" w:rsidRPr="009F30B2">
        <w:rPr>
          <w:rFonts w:asciiTheme="minorHAnsi" w:hAnsiTheme="minorHAnsi"/>
          <w:b/>
        </w:rPr>
        <w:t xml:space="preserve"> and in devising climate responses that are comprehensive and contribute to sustainable development</w:t>
      </w:r>
      <w:r w:rsidR="009F30B2" w:rsidRPr="009F30B2">
        <w:rPr>
          <w:rFonts w:asciiTheme="minorHAnsi" w:hAnsiTheme="minorHAnsi"/>
          <w:b/>
        </w:rPr>
        <w:t>.</w:t>
      </w:r>
      <w:r w:rsidR="009F30B2">
        <w:rPr>
          <w:rFonts w:asciiTheme="minorHAnsi" w:hAnsiTheme="minorHAnsi"/>
          <w:b/>
        </w:rPr>
        <w:t xml:space="preserve"> </w:t>
      </w:r>
      <w:r w:rsidR="006478EA" w:rsidRPr="009F30B2">
        <w:rPr>
          <w:rFonts w:asciiTheme="minorHAnsi" w:hAnsiTheme="minorHAnsi"/>
          <w:shd w:val="clear" w:color="auto" w:fill="FFFFFF"/>
        </w:rPr>
        <w:t xml:space="preserve">The draft </w:t>
      </w:r>
      <w:r w:rsidR="006478EA" w:rsidRPr="009F30B2">
        <w:rPr>
          <w:rFonts w:asciiTheme="minorHAnsi" w:hAnsiTheme="minorHAnsi"/>
        </w:rPr>
        <w:t xml:space="preserve">agreement and the decision to give effect to the agreement </w:t>
      </w:r>
      <w:r w:rsidRPr="009F30B2">
        <w:rPr>
          <w:rFonts w:asciiTheme="minorHAnsi" w:hAnsiTheme="minorHAnsi"/>
        </w:rPr>
        <w:t xml:space="preserve">(which Parties will further negotiate in Paris) </w:t>
      </w:r>
      <w:r w:rsidR="006478EA" w:rsidRPr="009F30B2">
        <w:rPr>
          <w:rFonts w:asciiTheme="minorHAnsi" w:hAnsiTheme="minorHAnsi"/>
        </w:rPr>
        <w:t xml:space="preserve">incorporate gender-specific references in the Preamble, Purpose, Adaptation, Finance and Capacity-building. </w:t>
      </w:r>
      <w:r w:rsidRPr="009F30B2">
        <w:rPr>
          <w:rFonts w:asciiTheme="minorHAnsi" w:hAnsiTheme="minorHAnsi"/>
        </w:rPr>
        <w:t>T</w:t>
      </w:r>
      <w:r w:rsidR="006478EA" w:rsidRPr="009F30B2">
        <w:rPr>
          <w:rFonts w:asciiTheme="minorHAnsi" w:hAnsiTheme="minorHAnsi"/>
        </w:rPr>
        <w:t>he</w:t>
      </w:r>
      <w:r w:rsidRPr="009F30B2">
        <w:rPr>
          <w:rFonts w:asciiTheme="minorHAnsi" w:hAnsiTheme="minorHAnsi"/>
        </w:rPr>
        <w:t>re</w:t>
      </w:r>
      <w:r w:rsidR="006478EA" w:rsidRPr="009F30B2">
        <w:rPr>
          <w:rFonts w:asciiTheme="minorHAnsi" w:hAnsiTheme="minorHAnsi"/>
        </w:rPr>
        <w:t xml:space="preserve"> </w:t>
      </w:r>
      <w:r w:rsidRPr="009F30B2">
        <w:rPr>
          <w:rFonts w:asciiTheme="minorHAnsi" w:hAnsiTheme="minorHAnsi"/>
        </w:rPr>
        <w:t xml:space="preserve">is </w:t>
      </w:r>
      <w:r w:rsidR="006478EA" w:rsidRPr="009F30B2">
        <w:rPr>
          <w:rFonts w:asciiTheme="minorHAnsi" w:hAnsiTheme="minorHAnsi"/>
          <w:b/>
        </w:rPr>
        <w:t xml:space="preserve">complete absence of key gender equality linkages in the draft decision on </w:t>
      </w:r>
      <w:proofErr w:type="spellStart"/>
      <w:r w:rsidR="006478EA" w:rsidRPr="009F30B2">
        <w:rPr>
          <w:rFonts w:asciiTheme="minorHAnsi" w:hAnsiTheme="minorHAnsi"/>
          <w:b/>
        </w:rPr>
        <w:t>workstream</w:t>
      </w:r>
      <w:proofErr w:type="spellEnd"/>
      <w:r w:rsidR="006478EA" w:rsidRPr="009F30B2">
        <w:rPr>
          <w:rFonts w:asciiTheme="minorHAnsi" w:hAnsiTheme="minorHAnsi"/>
          <w:b/>
        </w:rPr>
        <w:t xml:space="preserve"> 2 which will guide Parties’ climate actions in the period 2015-2020</w:t>
      </w:r>
      <w:r w:rsidR="006478EA" w:rsidRPr="009F30B2">
        <w:rPr>
          <w:rFonts w:asciiTheme="minorHAnsi" w:hAnsiTheme="minorHAnsi"/>
        </w:rPr>
        <w:t>, before the new climate agreement takes effect in 2020.</w:t>
      </w:r>
    </w:p>
    <w:p w:rsidR="00E039C4" w:rsidRDefault="00E039C4" w:rsidP="00E039C4">
      <w:pPr>
        <w:pStyle w:val="ListParagraph"/>
        <w:spacing w:before="120" w:after="120" w:line="259" w:lineRule="auto"/>
        <w:ind w:left="360"/>
        <w:jc w:val="both"/>
        <w:rPr>
          <w:rFonts w:asciiTheme="minorHAnsi" w:hAnsiTheme="minorHAnsi"/>
        </w:rPr>
      </w:pPr>
    </w:p>
    <w:p w:rsidR="00466CCF" w:rsidRPr="00D44DEE" w:rsidRDefault="004469C8" w:rsidP="000E3E48">
      <w:pPr>
        <w:pStyle w:val="ListParagraph"/>
        <w:numPr>
          <w:ilvl w:val="0"/>
          <w:numId w:val="6"/>
        </w:numPr>
        <w:shd w:val="clear" w:color="auto" w:fill="FFFFFF"/>
        <w:spacing w:line="259" w:lineRule="auto"/>
        <w:jc w:val="both"/>
        <w:rPr>
          <w:rFonts w:asciiTheme="minorHAnsi" w:hAnsiTheme="minorHAnsi" w:cs="Times New Roman"/>
        </w:rPr>
      </w:pPr>
      <w:r w:rsidRPr="00D44DEE">
        <w:rPr>
          <w:rFonts w:asciiTheme="minorHAnsi" w:hAnsiTheme="minorHAnsi" w:cs="Times New Roman"/>
        </w:rPr>
        <w:t xml:space="preserve">As </w:t>
      </w:r>
      <w:r w:rsidR="00D44DEE">
        <w:rPr>
          <w:rFonts w:asciiTheme="minorHAnsi" w:hAnsiTheme="minorHAnsi" w:cs="Times New Roman"/>
        </w:rPr>
        <w:t xml:space="preserve">Parties to the UNFCCC finalize the universal </w:t>
      </w:r>
      <w:r w:rsidR="00756F6D" w:rsidRPr="00D44DEE">
        <w:rPr>
          <w:rFonts w:asciiTheme="minorHAnsi" w:hAnsiTheme="minorHAnsi" w:cs="Times New Roman"/>
          <w:b/>
        </w:rPr>
        <w:t xml:space="preserve">climate agreement </w:t>
      </w:r>
      <w:r w:rsidR="009F30B2">
        <w:rPr>
          <w:rFonts w:asciiTheme="minorHAnsi" w:hAnsiTheme="minorHAnsi" w:cs="Times New Roman"/>
        </w:rPr>
        <w:t>in Paris, it is imperative to:</w:t>
      </w:r>
    </w:p>
    <w:p w:rsidR="00AE0E5F" w:rsidRPr="00F529FC" w:rsidRDefault="00AE0E5F" w:rsidP="00AE0E5F">
      <w:pPr>
        <w:pStyle w:val="ListParagraph"/>
        <w:rPr>
          <w:rFonts w:asciiTheme="minorHAnsi" w:hAnsiTheme="minorHAnsi"/>
        </w:rPr>
      </w:pPr>
    </w:p>
    <w:p w:rsidR="00D44DEE" w:rsidRDefault="00F27530" w:rsidP="00D44DEE">
      <w:pPr>
        <w:pStyle w:val="xmsonormal"/>
        <w:numPr>
          <w:ilvl w:val="0"/>
          <w:numId w:val="5"/>
        </w:numPr>
        <w:shd w:val="clear" w:color="auto" w:fill="FFFFFF"/>
        <w:spacing w:before="0" w:beforeAutospacing="0" w:after="0" w:afterAutospacing="0" w:line="259" w:lineRule="auto"/>
        <w:rPr>
          <w:rFonts w:asciiTheme="minorHAnsi" w:hAnsiTheme="minorHAnsi"/>
          <w:color w:val="212121"/>
          <w:sz w:val="24"/>
          <w:szCs w:val="24"/>
        </w:rPr>
      </w:pPr>
      <w:r>
        <w:rPr>
          <w:rFonts w:asciiTheme="minorHAnsi" w:hAnsiTheme="minorHAnsi"/>
          <w:color w:val="212121"/>
          <w:sz w:val="24"/>
          <w:szCs w:val="24"/>
        </w:rPr>
        <w:t xml:space="preserve">Ensure that the </w:t>
      </w:r>
      <w:r w:rsidR="00D44DEE" w:rsidRPr="00D44DEE">
        <w:rPr>
          <w:rFonts w:asciiTheme="minorHAnsi" w:hAnsiTheme="minorHAnsi"/>
          <w:color w:val="212121"/>
          <w:sz w:val="24"/>
          <w:szCs w:val="24"/>
        </w:rPr>
        <w:t>gender-specific references in the Preamble, Purpose, Adaptation, Finance and Capacity-building</w:t>
      </w:r>
      <w:r>
        <w:rPr>
          <w:rFonts w:asciiTheme="minorHAnsi" w:hAnsiTheme="minorHAnsi"/>
          <w:color w:val="212121"/>
          <w:sz w:val="24"/>
          <w:szCs w:val="24"/>
        </w:rPr>
        <w:t xml:space="preserve"> are retained and that a reference to </w:t>
      </w:r>
      <w:r w:rsidR="00D44DEE" w:rsidRPr="00D44DEE">
        <w:rPr>
          <w:rFonts w:asciiTheme="minorHAnsi" w:hAnsiTheme="minorHAnsi"/>
          <w:color w:val="212121"/>
          <w:sz w:val="24"/>
          <w:szCs w:val="24"/>
        </w:rPr>
        <w:t>the gender dimensions of tech</w:t>
      </w:r>
      <w:r>
        <w:rPr>
          <w:rFonts w:asciiTheme="minorHAnsi" w:hAnsiTheme="minorHAnsi"/>
          <w:color w:val="212121"/>
          <w:sz w:val="24"/>
          <w:szCs w:val="24"/>
        </w:rPr>
        <w:t xml:space="preserve">nology development and transfer be </w:t>
      </w:r>
      <w:r w:rsidR="00705DC9">
        <w:rPr>
          <w:rFonts w:asciiTheme="minorHAnsi" w:hAnsiTheme="minorHAnsi"/>
          <w:color w:val="212121"/>
          <w:sz w:val="24"/>
          <w:szCs w:val="24"/>
        </w:rPr>
        <w:t>considered.</w:t>
      </w:r>
    </w:p>
    <w:p w:rsidR="00564FBC" w:rsidRDefault="00564FBC" w:rsidP="00564FBC">
      <w:pPr>
        <w:pStyle w:val="xmsonormal"/>
        <w:shd w:val="clear" w:color="auto" w:fill="FFFFFF"/>
        <w:spacing w:before="0" w:beforeAutospacing="0" w:after="0" w:afterAutospacing="0" w:line="259" w:lineRule="auto"/>
        <w:ind w:left="720"/>
        <w:rPr>
          <w:rFonts w:asciiTheme="minorHAnsi" w:hAnsiTheme="minorHAnsi"/>
          <w:color w:val="212121"/>
          <w:sz w:val="24"/>
          <w:szCs w:val="24"/>
        </w:rPr>
      </w:pPr>
    </w:p>
    <w:p w:rsidR="003C0ACE" w:rsidRDefault="00564FBC" w:rsidP="00564FBC">
      <w:pPr>
        <w:pStyle w:val="xmsonormal"/>
        <w:numPr>
          <w:ilvl w:val="0"/>
          <w:numId w:val="5"/>
        </w:numPr>
        <w:shd w:val="clear" w:color="auto" w:fill="FFFFFF"/>
        <w:spacing w:before="0" w:beforeAutospacing="0" w:after="0" w:afterAutospacing="0" w:line="259" w:lineRule="auto"/>
        <w:rPr>
          <w:rFonts w:asciiTheme="minorHAnsi" w:hAnsiTheme="minorHAnsi"/>
          <w:color w:val="212121"/>
          <w:sz w:val="24"/>
          <w:szCs w:val="24"/>
        </w:rPr>
      </w:pPr>
      <w:r>
        <w:rPr>
          <w:rFonts w:asciiTheme="minorHAnsi" w:hAnsiTheme="minorHAnsi"/>
          <w:color w:val="212121"/>
          <w:sz w:val="24"/>
          <w:szCs w:val="24"/>
        </w:rPr>
        <w:t xml:space="preserve">Include gender-specific references (currently non-existent) in the draft decision on </w:t>
      </w:r>
      <w:proofErr w:type="spellStart"/>
      <w:r>
        <w:rPr>
          <w:rFonts w:asciiTheme="minorHAnsi" w:hAnsiTheme="minorHAnsi"/>
          <w:color w:val="212121"/>
          <w:sz w:val="24"/>
          <w:szCs w:val="24"/>
        </w:rPr>
        <w:t>workstream</w:t>
      </w:r>
      <w:proofErr w:type="spellEnd"/>
      <w:r>
        <w:rPr>
          <w:rFonts w:asciiTheme="minorHAnsi" w:hAnsiTheme="minorHAnsi"/>
          <w:color w:val="212121"/>
          <w:sz w:val="24"/>
          <w:szCs w:val="24"/>
        </w:rPr>
        <w:t xml:space="preserve"> 2. Specific textual proposal are annexed.</w:t>
      </w:r>
    </w:p>
    <w:p w:rsidR="003C0ACE" w:rsidRDefault="003C0ACE">
      <w:pPr>
        <w:spacing w:after="160" w:line="259" w:lineRule="auto"/>
        <w:rPr>
          <w:rFonts w:asciiTheme="minorHAnsi" w:hAnsiTheme="minorHAnsi"/>
          <w:color w:val="212121"/>
        </w:rPr>
      </w:pPr>
      <w:r>
        <w:rPr>
          <w:rFonts w:asciiTheme="minorHAnsi" w:hAnsiTheme="minorHAnsi"/>
          <w:color w:val="212121"/>
        </w:rPr>
        <w:br w:type="page"/>
      </w:r>
      <w:r w:rsidRPr="003C0ACE">
        <w:rPr>
          <w:rFonts w:asciiTheme="minorHAnsi" w:hAnsiTheme="minorHAnsi"/>
          <w:b/>
          <w:color w:val="212121"/>
          <w:u w:val="single"/>
        </w:rPr>
        <w:lastRenderedPageBreak/>
        <w:t>Annex:</w:t>
      </w:r>
    </w:p>
    <w:p w:rsidR="003C0ACE" w:rsidRPr="003C0ACE" w:rsidRDefault="003C0ACE" w:rsidP="003C0ACE">
      <w:pPr>
        <w:rPr>
          <w:rFonts w:asciiTheme="minorHAnsi" w:hAnsiTheme="minorHAnsi"/>
          <w:i/>
          <w:sz w:val="22"/>
          <w:szCs w:val="22"/>
        </w:rPr>
      </w:pPr>
      <w:bookmarkStart w:id="0" w:name="_GoBack"/>
      <w:bookmarkEnd w:id="0"/>
      <w:r w:rsidRPr="003C0ACE">
        <w:rPr>
          <w:rFonts w:asciiTheme="minorHAnsi" w:hAnsiTheme="minorHAnsi"/>
          <w:b/>
          <w:i/>
          <w:sz w:val="22"/>
          <w:szCs w:val="22"/>
        </w:rPr>
        <w:t xml:space="preserve">Draft decision on </w:t>
      </w:r>
      <w:proofErr w:type="spellStart"/>
      <w:r w:rsidRPr="003C0ACE">
        <w:rPr>
          <w:rFonts w:asciiTheme="minorHAnsi" w:hAnsiTheme="minorHAnsi"/>
          <w:b/>
          <w:i/>
          <w:sz w:val="22"/>
          <w:szCs w:val="22"/>
        </w:rPr>
        <w:t>workstream</w:t>
      </w:r>
      <w:proofErr w:type="spellEnd"/>
      <w:r w:rsidRPr="003C0ACE">
        <w:rPr>
          <w:rFonts w:asciiTheme="minorHAnsi" w:hAnsiTheme="minorHAnsi"/>
          <w:b/>
          <w:i/>
          <w:sz w:val="22"/>
          <w:szCs w:val="22"/>
        </w:rPr>
        <w:t xml:space="preserve"> 2 of the Ad Hoc Working Group on the Durban Platform for Enhanced Action Work of the ADP contact group Version of 23 October 2015@15:30hrs</w:t>
      </w:r>
    </w:p>
    <w:p w:rsidR="003C0ACE" w:rsidRPr="003C0ACE" w:rsidRDefault="003C0ACE" w:rsidP="003C0ACE">
      <w:pPr>
        <w:rPr>
          <w:rFonts w:asciiTheme="minorHAnsi" w:hAnsiTheme="minorHAnsi"/>
          <w:sz w:val="22"/>
          <w:szCs w:val="22"/>
        </w:rPr>
      </w:pPr>
    </w:p>
    <w:p w:rsidR="003C0ACE" w:rsidRPr="003C0ACE" w:rsidRDefault="003C0ACE" w:rsidP="003C0ACE">
      <w:pPr>
        <w:rPr>
          <w:rFonts w:asciiTheme="minorHAnsi" w:hAnsiTheme="minorHAnsi"/>
          <w:b/>
          <w:sz w:val="22"/>
          <w:szCs w:val="22"/>
          <w:u w:val="single"/>
        </w:rPr>
      </w:pPr>
      <w:r w:rsidRPr="003C0ACE">
        <w:rPr>
          <w:rFonts w:asciiTheme="minorHAnsi" w:hAnsiTheme="minorHAnsi"/>
          <w:b/>
          <w:sz w:val="22"/>
          <w:szCs w:val="22"/>
        </w:rPr>
        <w:t xml:space="preserve">NOTE: </w:t>
      </w:r>
      <w:r w:rsidRPr="003C0ACE">
        <w:rPr>
          <w:rFonts w:asciiTheme="minorHAnsi" w:hAnsiTheme="minorHAnsi"/>
          <w:sz w:val="22"/>
          <w:szCs w:val="22"/>
        </w:rPr>
        <w:t xml:space="preserve">Proposals for addition are in </w:t>
      </w:r>
      <w:r w:rsidRPr="003C0ACE">
        <w:rPr>
          <w:rFonts w:asciiTheme="minorHAnsi" w:hAnsiTheme="minorHAnsi"/>
          <w:b/>
          <w:i/>
          <w:sz w:val="22"/>
          <w:szCs w:val="22"/>
          <w:u w:val="single"/>
        </w:rPr>
        <w:t>bold, italicized and underlined</w:t>
      </w:r>
      <w:r w:rsidRPr="003C0ACE">
        <w:rPr>
          <w:rFonts w:asciiTheme="minorHAnsi" w:hAnsiTheme="minorHAnsi"/>
          <w:b/>
          <w:sz w:val="22"/>
          <w:szCs w:val="22"/>
        </w:rPr>
        <w:t xml:space="preserve"> </w:t>
      </w:r>
    </w:p>
    <w:p w:rsidR="003C0ACE" w:rsidRPr="003C0ACE" w:rsidRDefault="003C0ACE" w:rsidP="003C0ACE">
      <w:pPr>
        <w:rPr>
          <w:rFonts w:asciiTheme="minorHAnsi" w:hAnsiTheme="minorHAnsi"/>
          <w:sz w:val="22"/>
          <w:szCs w:val="22"/>
        </w:rPr>
      </w:pPr>
    </w:p>
    <w:p w:rsidR="003C0ACE" w:rsidRPr="003C0ACE" w:rsidRDefault="003C0ACE" w:rsidP="003C0ACE">
      <w:pPr>
        <w:rPr>
          <w:rFonts w:asciiTheme="minorHAnsi" w:hAnsiTheme="minorHAnsi"/>
          <w:sz w:val="22"/>
          <w:szCs w:val="22"/>
        </w:rPr>
      </w:pPr>
      <w:r w:rsidRPr="003C0ACE">
        <w:rPr>
          <w:rFonts w:asciiTheme="minorHAnsi" w:hAnsiTheme="minorHAnsi"/>
          <w:sz w:val="22"/>
          <w:szCs w:val="22"/>
        </w:rPr>
        <w:t>5. Resolves to strengthen, in the period 2016–2020, the existing technical examination process on mitigation, as defined in decision 1/CP.19, paragraph 5(a), taking into account the latest scientific knowledge, including by:</w:t>
      </w:r>
    </w:p>
    <w:p w:rsidR="003C0ACE" w:rsidRPr="003C0ACE" w:rsidRDefault="003C0ACE" w:rsidP="003C0ACE">
      <w:pPr>
        <w:rPr>
          <w:rFonts w:asciiTheme="minorHAnsi" w:hAnsiTheme="minorHAnsi"/>
          <w:sz w:val="22"/>
          <w:szCs w:val="22"/>
        </w:rPr>
      </w:pPr>
    </w:p>
    <w:p w:rsidR="003C0ACE" w:rsidRPr="003C0ACE" w:rsidRDefault="003C0ACE" w:rsidP="003C0ACE">
      <w:pPr>
        <w:pStyle w:val="ListParagraph"/>
        <w:numPr>
          <w:ilvl w:val="0"/>
          <w:numId w:val="14"/>
        </w:numPr>
        <w:jc w:val="both"/>
        <w:rPr>
          <w:rFonts w:asciiTheme="minorHAnsi" w:hAnsiTheme="minorHAnsi"/>
          <w:sz w:val="22"/>
          <w:szCs w:val="22"/>
        </w:rPr>
      </w:pPr>
      <w:r w:rsidRPr="003C0ACE">
        <w:rPr>
          <w:rFonts w:asciiTheme="minorHAnsi" w:hAnsiTheme="minorHAnsi"/>
          <w:sz w:val="22"/>
          <w:szCs w:val="22"/>
        </w:rPr>
        <w:t xml:space="preserve">Requesting the Technology Executive Committee and the Climate Technology Centre and Network to: </w:t>
      </w:r>
    </w:p>
    <w:p w:rsidR="003C0ACE" w:rsidRPr="003C0ACE" w:rsidRDefault="003C0ACE" w:rsidP="003C0ACE">
      <w:pPr>
        <w:pStyle w:val="ListParagraph"/>
        <w:numPr>
          <w:ilvl w:val="0"/>
          <w:numId w:val="24"/>
        </w:numPr>
        <w:rPr>
          <w:rFonts w:asciiTheme="minorHAnsi" w:hAnsiTheme="minorHAnsi"/>
          <w:sz w:val="22"/>
          <w:szCs w:val="22"/>
        </w:rPr>
      </w:pPr>
      <w:r w:rsidRPr="003C0ACE">
        <w:rPr>
          <w:rFonts w:asciiTheme="minorHAnsi" w:hAnsiTheme="minorHAnsi"/>
          <w:sz w:val="22"/>
          <w:szCs w:val="22"/>
        </w:rPr>
        <w:t xml:space="preserve">Include information </w:t>
      </w:r>
      <w:r w:rsidRPr="003C0ACE">
        <w:rPr>
          <w:rFonts w:asciiTheme="minorHAnsi" w:hAnsiTheme="minorHAnsi"/>
          <w:b/>
          <w:i/>
          <w:sz w:val="22"/>
          <w:szCs w:val="22"/>
          <w:u w:val="single"/>
        </w:rPr>
        <w:t>reflecting a gender perspective</w:t>
      </w:r>
      <w:r w:rsidRPr="003C0ACE">
        <w:rPr>
          <w:rFonts w:asciiTheme="minorHAnsi" w:hAnsiTheme="minorHAnsi"/>
          <w:b/>
          <w:sz w:val="22"/>
          <w:szCs w:val="22"/>
        </w:rPr>
        <w:t xml:space="preserve"> </w:t>
      </w:r>
      <w:r w:rsidRPr="003C0ACE">
        <w:rPr>
          <w:rFonts w:asciiTheme="minorHAnsi" w:hAnsiTheme="minorHAnsi"/>
          <w:sz w:val="22"/>
          <w:szCs w:val="22"/>
        </w:rPr>
        <w:t>on their activities under this paragraph 5(d) in their joint annual report to the Conference of the Parties;</w:t>
      </w:r>
    </w:p>
    <w:p w:rsidR="003C0ACE" w:rsidRPr="003C0ACE" w:rsidRDefault="003C0ACE" w:rsidP="003C0ACE">
      <w:pPr>
        <w:rPr>
          <w:rFonts w:asciiTheme="minorHAnsi" w:hAnsiTheme="minorHAnsi"/>
          <w:sz w:val="22"/>
          <w:szCs w:val="22"/>
        </w:rPr>
      </w:pPr>
    </w:p>
    <w:p w:rsidR="003C0ACE" w:rsidRPr="003C0ACE" w:rsidRDefault="003C0ACE" w:rsidP="003C0ACE">
      <w:pPr>
        <w:pStyle w:val="ListParagraph"/>
        <w:numPr>
          <w:ilvl w:val="0"/>
          <w:numId w:val="14"/>
        </w:numPr>
        <w:rPr>
          <w:rFonts w:asciiTheme="minorHAnsi" w:hAnsiTheme="minorHAnsi"/>
          <w:sz w:val="22"/>
          <w:szCs w:val="22"/>
        </w:rPr>
      </w:pPr>
      <w:r w:rsidRPr="003C0ACE">
        <w:rPr>
          <w:rFonts w:asciiTheme="minorHAnsi" w:hAnsiTheme="minorHAnsi"/>
          <w:sz w:val="22"/>
          <w:szCs w:val="22"/>
        </w:rPr>
        <w:t>Encouraging Parties to make effective use of the Climate Technology Centre and Network to obtain support in the development of economically, environmentally and socially viable</w:t>
      </w:r>
      <w:r w:rsidRPr="003C0ACE">
        <w:rPr>
          <w:rFonts w:asciiTheme="minorHAnsi" w:hAnsiTheme="minorHAnsi"/>
          <w:b/>
          <w:sz w:val="22"/>
          <w:szCs w:val="22"/>
        </w:rPr>
        <w:t xml:space="preserve">, </w:t>
      </w:r>
      <w:r w:rsidRPr="003C0ACE">
        <w:rPr>
          <w:rFonts w:asciiTheme="minorHAnsi" w:hAnsiTheme="minorHAnsi"/>
          <w:b/>
          <w:i/>
          <w:sz w:val="22"/>
          <w:szCs w:val="22"/>
          <w:u w:val="single"/>
        </w:rPr>
        <w:t>as well as gender-responsive</w:t>
      </w:r>
      <w:r w:rsidRPr="003C0ACE">
        <w:rPr>
          <w:rFonts w:asciiTheme="minorHAnsi" w:hAnsiTheme="minorHAnsi"/>
          <w:sz w:val="22"/>
          <w:szCs w:val="22"/>
        </w:rPr>
        <w:t xml:space="preserve"> project proposals in the high potential areas identified in this process;</w:t>
      </w:r>
    </w:p>
    <w:p w:rsidR="003C0ACE" w:rsidRPr="003C0ACE" w:rsidRDefault="003C0ACE" w:rsidP="003C0ACE">
      <w:pPr>
        <w:pStyle w:val="ListParagraph"/>
        <w:rPr>
          <w:rFonts w:asciiTheme="minorHAnsi" w:hAnsiTheme="minorHAnsi"/>
          <w:b/>
          <w:sz w:val="22"/>
          <w:szCs w:val="22"/>
          <w:u w:val="single"/>
        </w:rPr>
      </w:pPr>
    </w:p>
    <w:p w:rsidR="003C0ACE" w:rsidRPr="003C0ACE" w:rsidRDefault="003C0ACE" w:rsidP="003C0ACE">
      <w:pPr>
        <w:pStyle w:val="ListParagraph"/>
        <w:numPr>
          <w:ilvl w:val="0"/>
          <w:numId w:val="17"/>
        </w:numPr>
        <w:rPr>
          <w:rFonts w:asciiTheme="minorHAnsi" w:hAnsiTheme="minorHAnsi"/>
          <w:sz w:val="22"/>
          <w:szCs w:val="22"/>
        </w:rPr>
      </w:pPr>
      <w:r w:rsidRPr="003C0ACE">
        <w:rPr>
          <w:rFonts w:asciiTheme="minorHAnsi" w:hAnsiTheme="minorHAnsi"/>
          <w:sz w:val="22"/>
          <w:szCs w:val="22"/>
        </w:rPr>
        <w:t>Requests the secretariat, in consultation with the co-facilitators referred to in paragraph 5(a) above, to organize the process referred to in paragraph 5 above and disseminate its results, including by:</w:t>
      </w:r>
    </w:p>
    <w:p w:rsidR="003C0ACE" w:rsidRPr="003C0ACE" w:rsidRDefault="003C0ACE" w:rsidP="003C0ACE">
      <w:pPr>
        <w:rPr>
          <w:rFonts w:asciiTheme="minorHAnsi" w:hAnsiTheme="minorHAnsi"/>
          <w:sz w:val="22"/>
          <w:szCs w:val="22"/>
        </w:rPr>
      </w:pPr>
    </w:p>
    <w:p w:rsidR="003C0ACE" w:rsidRPr="003C0ACE" w:rsidRDefault="003C0ACE" w:rsidP="003C0ACE">
      <w:pPr>
        <w:pStyle w:val="ListParagraph"/>
        <w:numPr>
          <w:ilvl w:val="0"/>
          <w:numId w:val="16"/>
        </w:numPr>
        <w:rPr>
          <w:rFonts w:asciiTheme="minorHAnsi" w:hAnsiTheme="minorHAnsi"/>
          <w:b/>
          <w:sz w:val="22"/>
          <w:szCs w:val="22"/>
          <w:u w:val="single"/>
        </w:rPr>
      </w:pPr>
      <w:r w:rsidRPr="003C0ACE">
        <w:rPr>
          <w:rFonts w:asciiTheme="minorHAnsi" w:hAnsiTheme="minorHAnsi"/>
          <w:sz w:val="22"/>
          <w:szCs w:val="22"/>
        </w:rPr>
        <w:t xml:space="preserve">[Ensuring, in the preparation of the technical paper referred to in paragraph 6(b) above and summary for policymakers referred to in paragraph 6(c) above, the inclusion of information </w:t>
      </w:r>
      <w:r w:rsidRPr="003C0ACE">
        <w:rPr>
          <w:rFonts w:asciiTheme="minorHAnsi" w:hAnsiTheme="minorHAnsi"/>
          <w:b/>
          <w:i/>
          <w:sz w:val="22"/>
          <w:szCs w:val="22"/>
          <w:u w:val="single"/>
        </w:rPr>
        <w:t>reflecting a gender perspective</w:t>
      </w:r>
      <w:r w:rsidRPr="003C0ACE">
        <w:rPr>
          <w:rFonts w:asciiTheme="minorHAnsi" w:hAnsiTheme="minorHAnsi"/>
          <w:b/>
          <w:sz w:val="22"/>
          <w:szCs w:val="22"/>
        </w:rPr>
        <w:t xml:space="preserve"> </w:t>
      </w:r>
      <w:r w:rsidRPr="003C0ACE">
        <w:rPr>
          <w:rFonts w:asciiTheme="minorHAnsi" w:hAnsiTheme="minorHAnsi"/>
          <w:sz w:val="22"/>
          <w:szCs w:val="22"/>
        </w:rPr>
        <w:t>related to the means of implementation, in particular finance, technology and capacity-building support required by developing country Parties;]</w:t>
      </w:r>
    </w:p>
    <w:p w:rsidR="003C0ACE" w:rsidRPr="003C0ACE" w:rsidRDefault="003C0ACE" w:rsidP="003C0ACE">
      <w:pPr>
        <w:rPr>
          <w:rFonts w:asciiTheme="minorHAnsi" w:hAnsiTheme="minorHAnsi"/>
          <w:b/>
          <w:i/>
          <w:sz w:val="22"/>
          <w:szCs w:val="22"/>
        </w:rPr>
      </w:pPr>
    </w:p>
    <w:p w:rsidR="003C0ACE" w:rsidRPr="003C0ACE" w:rsidRDefault="003C0ACE" w:rsidP="003C0ACE">
      <w:pPr>
        <w:rPr>
          <w:rFonts w:asciiTheme="minorHAnsi" w:hAnsiTheme="minorHAnsi"/>
          <w:sz w:val="22"/>
          <w:szCs w:val="22"/>
        </w:rPr>
      </w:pPr>
      <w:r w:rsidRPr="003C0ACE">
        <w:rPr>
          <w:rFonts w:asciiTheme="minorHAnsi" w:hAnsiTheme="minorHAnsi"/>
          <w:b/>
          <w:i/>
          <w:sz w:val="22"/>
          <w:szCs w:val="22"/>
        </w:rPr>
        <w:t>[III. Support]</w:t>
      </w:r>
      <w:r w:rsidRPr="003C0ACE">
        <w:rPr>
          <w:rFonts w:asciiTheme="minorHAnsi" w:hAnsiTheme="minorHAnsi"/>
          <w:sz w:val="22"/>
          <w:szCs w:val="22"/>
        </w:rPr>
        <w:t xml:space="preserve"> </w:t>
      </w:r>
    </w:p>
    <w:p w:rsidR="003C0ACE" w:rsidRPr="003C0ACE" w:rsidRDefault="003C0ACE" w:rsidP="003C0ACE">
      <w:pPr>
        <w:rPr>
          <w:rFonts w:asciiTheme="minorHAnsi" w:hAnsiTheme="minorHAnsi"/>
          <w:sz w:val="22"/>
          <w:szCs w:val="22"/>
        </w:rPr>
      </w:pPr>
    </w:p>
    <w:p w:rsidR="003C0ACE" w:rsidRPr="003C0ACE" w:rsidRDefault="003C0ACE" w:rsidP="003C0ACE">
      <w:pPr>
        <w:pStyle w:val="ListParagraph"/>
        <w:numPr>
          <w:ilvl w:val="0"/>
          <w:numId w:val="15"/>
        </w:numPr>
        <w:rPr>
          <w:rFonts w:asciiTheme="minorHAnsi" w:hAnsiTheme="minorHAnsi"/>
          <w:b/>
          <w:sz w:val="22"/>
          <w:szCs w:val="22"/>
          <w:u w:val="single"/>
        </w:rPr>
      </w:pPr>
      <w:r w:rsidRPr="003C0ACE">
        <w:rPr>
          <w:rFonts w:asciiTheme="minorHAnsi" w:hAnsiTheme="minorHAnsi"/>
          <w:sz w:val="22"/>
          <w:szCs w:val="22"/>
        </w:rPr>
        <w:t xml:space="preserve">[Recognizes the need and urgency to enhance the provision of </w:t>
      </w:r>
      <w:r w:rsidRPr="003C0ACE">
        <w:rPr>
          <w:rFonts w:asciiTheme="minorHAnsi" w:hAnsiTheme="minorHAnsi"/>
          <w:b/>
          <w:i/>
          <w:sz w:val="22"/>
          <w:szCs w:val="22"/>
          <w:u w:val="single"/>
        </w:rPr>
        <w:t>gender responsive</w:t>
      </w:r>
      <w:r w:rsidRPr="003C0ACE">
        <w:rPr>
          <w:rFonts w:asciiTheme="minorHAnsi" w:hAnsiTheme="minorHAnsi"/>
          <w:sz w:val="22"/>
          <w:szCs w:val="22"/>
        </w:rPr>
        <w:t xml:space="preserve"> finance, technology and capacity-building by developed countries, in a predictable manner, to support [the highest possible mitigation] of developing country Parties [and other Parties in need of support, including countries with economies in transition] related to pre-2020 action…</w:t>
      </w:r>
    </w:p>
    <w:p w:rsidR="003C0ACE" w:rsidRPr="003C0ACE" w:rsidRDefault="003C0ACE" w:rsidP="003C0ACE">
      <w:pPr>
        <w:rPr>
          <w:rFonts w:asciiTheme="minorHAnsi" w:hAnsiTheme="minorHAnsi"/>
          <w:b/>
          <w:i/>
          <w:sz w:val="22"/>
          <w:szCs w:val="22"/>
        </w:rPr>
      </w:pPr>
    </w:p>
    <w:p w:rsidR="003C0ACE" w:rsidRPr="003C0ACE" w:rsidRDefault="003C0ACE" w:rsidP="003C0ACE">
      <w:pPr>
        <w:rPr>
          <w:rFonts w:asciiTheme="minorHAnsi" w:hAnsiTheme="minorHAnsi"/>
          <w:sz w:val="22"/>
          <w:szCs w:val="22"/>
        </w:rPr>
      </w:pPr>
      <w:r w:rsidRPr="003C0ACE">
        <w:rPr>
          <w:rFonts w:asciiTheme="minorHAnsi" w:hAnsiTheme="minorHAnsi"/>
          <w:b/>
          <w:i/>
          <w:sz w:val="22"/>
          <w:szCs w:val="22"/>
        </w:rPr>
        <w:t>[IV. Accelerated implementation]</w:t>
      </w:r>
    </w:p>
    <w:p w:rsidR="003C0ACE" w:rsidRPr="003C0ACE" w:rsidRDefault="003C0ACE" w:rsidP="003C0ACE">
      <w:pPr>
        <w:rPr>
          <w:rFonts w:asciiTheme="minorHAnsi" w:hAnsiTheme="minorHAnsi"/>
          <w:sz w:val="22"/>
          <w:szCs w:val="22"/>
        </w:rPr>
      </w:pPr>
      <w:r w:rsidRPr="003C0ACE">
        <w:rPr>
          <w:rFonts w:asciiTheme="minorHAnsi" w:hAnsiTheme="minorHAnsi"/>
          <w:sz w:val="22"/>
          <w:szCs w:val="22"/>
        </w:rPr>
        <w:t>Option 2 (paragraphs 18-20):</w:t>
      </w:r>
    </w:p>
    <w:p w:rsidR="003C0ACE" w:rsidRPr="003C0ACE" w:rsidRDefault="003C0ACE" w:rsidP="003C0ACE">
      <w:pPr>
        <w:pStyle w:val="ListParagraph"/>
        <w:numPr>
          <w:ilvl w:val="0"/>
          <w:numId w:val="18"/>
        </w:numPr>
        <w:spacing w:after="160" w:line="259" w:lineRule="auto"/>
        <w:rPr>
          <w:rFonts w:asciiTheme="minorHAnsi" w:hAnsiTheme="minorHAnsi"/>
          <w:sz w:val="22"/>
          <w:szCs w:val="22"/>
        </w:rPr>
      </w:pPr>
      <w:r w:rsidRPr="003C0ACE">
        <w:rPr>
          <w:rFonts w:asciiTheme="minorHAnsi" w:hAnsiTheme="minorHAnsi"/>
          <w:sz w:val="22"/>
          <w:szCs w:val="22"/>
        </w:rPr>
        <w:t>Decides to [launch][conduct] a facilitative and exploratory [process][dialogue] in conjunction with the twenty-third session of the Conference of the Parties (2017) with a view to identifying ways to accelerate the implementation of commitments under the Convention in the pre-2020 period, including:</w:t>
      </w:r>
    </w:p>
    <w:p w:rsidR="003C0ACE" w:rsidRPr="003C0ACE" w:rsidRDefault="003C0ACE" w:rsidP="003C0ACE">
      <w:pPr>
        <w:pStyle w:val="ListParagraph"/>
        <w:numPr>
          <w:ilvl w:val="0"/>
          <w:numId w:val="19"/>
        </w:numPr>
        <w:spacing w:after="160" w:line="259" w:lineRule="auto"/>
        <w:rPr>
          <w:rFonts w:asciiTheme="minorHAnsi" w:hAnsiTheme="minorHAnsi"/>
          <w:sz w:val="22"/>
          <w:szCs w:val="22"/>
        </w:rPr>
      </w:pPr>
      <w:r w:rsidRPr="003C0ACE">
        <w:rPr>
          <w:rFonts w:asciiTheme="minorHAnsi" w:hAnsiTheme="minorHAnsi"/>
          <w:sz w:val="22"/>
          <w:szCs w:val="22"/>
        </w:rPr>
        <w:t xml:space="preserve">Opportunities to enhance the provision and mobilization of finance, technology and capacity-building support to developing country Parties [and other Parties in need of support, including countries with economies in transition,] in a holistic </w:t>
      </w:r>
      <w:r w:rsidRPr="003C0ACE">
        <w:rPr>
          <w:rFonts w:asciiTheme="minorHAnsi" w:hAnsiTheme="minorHAnsi"/>
          <w:b/>
          <w:i/>
          <w:sz w:val="22"/>
          <w:szCs w:val="22"/>
          <w:u w:val="single"/>
        </w:rPr>
        <w:t>and gender-responsive</w:t>
      </w:r>
      <w:r w:rsidRPr="003C0ACE">
        <w:rPr>
          <w:rFonts w:asciiTheme="minorHAnsi" w:hAnsiTheme="minorHAnsi"/>
          <w:sz w:val="22"/>
          <w:szCs w:val="22"/>
        </w:rPr>
        <w:t xml:space="preserve"> manner;</w:t>
      </w:r>
    </w:p>
    <w:p w:rsidR="003C0ACE" w:rsidRPr="003C0ACE" w:rsidRDefault="003C0ACE" w:rsidP="003C0ACE">
      <w:pPr>
        <w:rPr>
          <w:rFonts w:asciiTheme="minorHAnsi" w:hAnsiTheme="minorHAnsi"/>
          <w:sz w:val="22"/>
          <w:szCs w:val="22"/>
        </w:rPr>
      </w:pPr>
      <w:r w:rsidRPr="003C0ACE">
        <w:rPr>
          <w:rFonts w:asciiTheme="minorHAnsi" w:hAnsiTheme="minorHAnsi"/>
          <w:b/>
          <w:i/>
          <w:sz w:val="22"/>
          <w:szCs w:val="22"/>
        </w:rPr>
        <w:t>[VI. High-level dialogue/events]</w:t>
      </w:r>
    </w:p>
    <w:p w:rsidR="003C0ACE" w:rsidRPr="003C0ACE" w:rsidRDefault="003C0ACE" w:rsidP="003C0ACE">
      <w:pPr>
        <w:rPr>
          <w:rFonts w:asciiTheme="minorHAnsi" w:hAnsiTheme="minorHAnsi"/>
          <w:sz w:val="22"/>
          <w:szCs w:val="22"/>
        </w:rPr>
      </w:pPr>
      <w:r w:rsidRPr="003C0ACE">
        <w:rPr>
          <w:rFonts w:asciiTheme="minorHAnsi" w:hAnsiTheme="minorHAnsi"/>
          <w:sz w:val="22"/>
          <w:szCs w:val="22"/>
        </w:rPr>
        <w:t>29. Agrees to convene, in conjunction with each session of the Conference of the Parties from 2016 to 2020, a high-level event that:</w:t>
      </w:r>
    </w:p>
    <w:p w:rsidR="003C0ACE" w:rsidRPr="003C0ACE" w:rsidRDefault="003C0ACE" w:rsidP="003C0ACE">
      <w:pPr>
        <w:pStyle w:val="ListParagraph"/>
        <w:numPr>
          <w:ilvl w:val="0"/>
          <w:numId w:val="20"/>
        </w:numPr>
        <w:spacing w:after="160" w:line="259" w:lineRule="auto"/>
        <w:rPr>
          <w:rFonts w:asciiTheme="minorHAnsi" w:hAnsiTheme="minorHAnsi"/>
          <w:sz w:val="22"/>
          <w:szCs w:val="22"/>
        </w:rPr>
      </w:pPr>
      <w:r w:rsidRPr="003C0ACE">
        <w:rPr>
          <w:rFonts w:asciiTheme="minorHAnsi" w:hAnsiTheme="minorHAnsi"/>
          <w:sz w:val="22"/>
          <w:szCs w:val="22"/>
        </w:rPr>
        <w:t xml:space="preserve">Exchanges experiences and best practices on climate action by non-Party stakeholders[, including indigenous peoples’ </w:t>
      </w:r>
      <w:r w:rsidRPr="003C0ACE">
        <w:rPr>
          <w:rFonts w:asciiTheme="minorHAnsi" w:hAnsiTheme="minorHAnsi"/>
          <w:b/>
          <w:i/>
          <w:sz w:val="22"/>
          <w:szCs w:val="22"/>
          <w:u w:val="single"/>
        </w:rPr>
        <w:t>and women’s</w:t>
      </w:r>
      <w:r w:rsidRPr="003C0ACE">
        <w:rPr>
          <w:rFonts w:asciiTheme="minorHAnsi" w:hAnsiTheme="minorHAnsi"/>
          <w:b/>
          <w:sz w:val="22"/>
          <w:szCs w:val="22"/>
        </w:rPr>
        <w:t xml:space="preserve"> </w:t>
      </w:r>
      <w:r w:rsidRPr="003C0ACE">
        <w:rPr>
          <w:rFonts w:asciiTheme="minorHAnsi" w:hAnsiTheme="minorHAnsi"/>
          <w:sz w:val="22"/>
          <w:szCs w:val="22"/>
        </w:rPr>
        <w:t>knowledge and technologies on mitigation and adaptation];</w:t>
      </w:r>
    </w:p>
    <w:p w:rsidR="003C0ACE" w:rsidRPr="003C0ACE" w:rsidRDefault="003C0ACE" w:rsidP="003C0ACE">
      <w:pPr>
        <w:rPr>
          <w:rFonts w:asciiTheme="minorHAnsi" w:hAnsiTheme="minorHAnsi"/>
          <w:b/>
          <w:i/>
          <w:sz w:val="22"/>
          <w:szCs w:val="22"/>
        </w:rPr>
      </w:pPr>
      <w:r w:rsidRPr="003C0ACE">
        <w:rPr>
          <w:rFonts w:asciiTheme="minorHAnsi" w:hAnsiTheme="minorHAnsi"/>
          <w:b/>
          <w:i/>
          <w:sz w:val="22"/>
          <w:szCs w:val="22"/>
        </w:rPr>
        <w:t>[VII. Adaptation]</w:t>
      </w:r>
    </w:p>
    <w:p w:rsidR="003C0ACE" w:rsidRPr="003C0ACE" w:rsidRDefault="003C0ACE" w:rsidP="003C0ACE">
      <w:pPr>
        <w:rPr>
          <w:rFonts w:asciiTheme="minorHAnsi" w:hAnsiTheme="minorHAnsi"/>
          <w:sz w:val="22"/>
          <w:szCs w:val="22"/>
        </w:rPr>
      </w:pPr>
      <w:r w:rsidRPr="003C0ACE">
        <w:rPr>
          <w:rFonts w:asciiTheme="minorHAnsi" w:hAnsiTheme="minorHAnsi"/>
          <w:sz w:val="22"/>
          <w:szCs w:val="22"/>
        </w:rPr>
        <w:t>Option 1 (paragraphs 34-40):</w:t>
      </w:r>
    </w:p>
    <w:p w:rsidR="003C0ACE" w:rsidRPr="003C0ACE" w:rsidRDefault="003C0ACE" w:rsidP="003C0ACE">
      <w:pPr>
        <w:pStyle w:val="ListParagraph"/>
        <w:numPr>
          <w:ilvl w:val="0"/>
          <w:numId w:val="21"/>
        </w:numPr>
        <w:spacing w:after="160" w:line="259" w:lineRule="auto"/>
        <w:rPr>
          <w:rFonts w:asciiTheme="minorHAnsi" w:hAnsiTheme="minorHAnsi"/>
          <w:sz w:val="22"/>
          <w:szCs w:val="22"/>
        </w:rPr>
      </w:pPr>
      <w:r w:rsidRPr="003C0ACE">
        <w:rPr>
          <w:rFonts w:asciiTheme="minorHAnsi" w:hAnsiTheme="minorHAnsi"/>
          <w:sz w:val="22"/>
          <w:szCs w:val="22"/>
        </w:rPr>
        <w:lastRenderedPageBreak/>
        <w:t xml:space="preserve">Also decides that the process referred to in paragraph 34 above will aim to identify opportunities for decreasing vulnerabilities, enhance adaptation action and support, share best practices and attend to gaps in implementation, knowledge, technology, capacity and finance, by addressing </w:t>
      </w:r>
      <w:r w:rsidRPr="003C0ACE">
        <w:rPr>
          <w:rFonts w:asciiTheme="minorHAnsi" w:hAnsiTheme="minorHAnsi"/>
          <w:b/>
          <w:i/>
          <w:sz w:val="22"/>
          <w:szCs w:val="22"/>
          <w:u w:val="single"/>
        </w:rPr>
        <w:t>including from a gender perspective</w:t>
      </w:r>
      <w:r w:rsidRPr="003C0ACE">
        <w:rPr>
          <w:rFonts w:asciiTheme="minorHAnsi" w:hAnsiTheme="minorHAnsi"/>
          <w:sz w:val="22"/>
          <w:szCs w:val="22"/>
        </w:rPr>
        <w:t>, inter alia:</w:t>
      </w:r>
    </w:p>
    <w:p w:rsidR="003C0ACE" w:rsidRPr="003C0ACE" w:rsidRDefault="003C0ACE" w:rsidP="003C0ACE">
      <w:pPr>
        <w:pStyle w:val="ListParagraph"/>
        <w:ind w:left="360"/>
        <w:rPr>
          <w:rFonts w:asciiTheme="minorHAnsi" w:hAnsiTheme="minorHAnsi"/>
          <w:sz w:val="22"/>
          <w:szCs w:val="22"/>
        </w:rPr>
      </w:pPr>
    </w:p>
    <w:p w:rsidR="003C0ACE" w:rsidRPr="003C0ACE" w:rsidRDefault="003C0ACE" w:rsidP="003C0ACE">
      <w:pPr>
        <w:pStyle w:val="ListParagraph"/>
        <w:numPr>
          <w:ilvl w:val="0"/>
          <w:numId w:val="22"/>
        </w:numPr>
        <w:spacing w:after="160" w:line="259" w:lineRule="auto"/>
        <w:rPr>
          <w:rFonts w:asciiTheme="minorHAnsi" w:hAnsiTheme="minorHAnsi"/>
          <w:sz w:val="22"/>
          <w:szCs w:val="22"/>
        </w:rPr>
      </w:pPr>
      <w:r w:rsidRPr="003C0ACE">
        <w:rPr>
          <w:rFonts w:asciiTheme="minorHAnsi" w:hAnsiTheme="minorHAnsi"/>
          <w:sz w:val="22"/>
          <w:szCs w:val="22"/>
        </w:rPr>
        <w:t xml:space="preserve">Requests the secretariat to facilitate the process referred to in paragraph 34 above and disseminate its results, taking into account the work of, inter alia, the Adaptation Committee, the Least Developed Countries Expert Group, and activities under the Nairobi work </w:t>
      </w:r>
      <w:proofErr w:type="spellStart"/>
      <w:r w:rsidRPr="003C0ACE">
        <w:rPr>
          <w:rFonts w:asciiTheme="minorHAnsi" w:hAnsiTheme="minorHAnsi"/>
          <w:sz w:val="22"/>
          <w:szCs w:val="22"/>
        </w:rPr>
        <w:t>programme</w:t>
      </w:r>
      <w:proofErr w:type="spellEnd"/>
      <w:r w:rsidRPr="003C0ACE">
        <w:rPr>
          <w:rFonts w:asciiTheme="minorHAnsi" w:hAnsiTheme="minorHAnsi"/>
          <w:sz w:val="22"/>
          <w:szCs w:val="22"/>
        </w:rPr>
        <w:t xml:space="preserve"> </w:t>
      </w:r>
      <w:r w:rsidRPr="003C0ACE">
        <w:rPr>
          <w:rFonts w:asciiTheme="minorHAnsi" w:hAnsiTheme="minorHAnsi"/>
          <w:b/>
          <w:i/>
          <w:sz w:val="22"/>
          <w:szCs w:val="22"/>
          <w:u w:val="single"/>
        </w:rPr>
        <w:t xml:space="preserve">and the mandates outlined in the Lima Work </w:t>
      </w:r>
      <w:proofErr w:type="spellStart"/>
      <w:r w:rsidRPr="003C0ACE">
        <w:rPr>
          <w:rFonts w:asciiTheme="minorHAnsi" w:hAnsiTheme="minorHAnsi"/>
          <w:b/>
          <w:i/>
          <w:sz w:val="22"/>
          <w:szCs w:val="22"/>
          <w:u w:val="single"/>
        </w:rPr>
        <w:t>Programme</w:t>
      </w:r>
      <w:proofErr w:type="spellEnd"/>
      <w:r w:rsidRPr="003C0ACE">
        <w:rPr>
          <w:rFonts w:asciiTheme="minorHAnsi" w:hAnsiTheme="minorHAnsi"/>
          <w:b/>
          <w:i/>
          <w:sz w:val="22"/>
          <w:szCs w:val="22"/>
          <w:u w:val="single"/>
        </w:rPr>
        <w:t xml:space="preserve"> on Gender</w:t>
      </w:r>
      <w:r w:rsidRPr="003C0ACE">
        <w:rPr>
          <w:rFonts w:asciiTheme="minorHAnsi" w:hAnsiTheme="minorHAnsi"/>
          <w:i/>
          <w:sz w:val="22"/>
          <w:szCs w:val="22"/>
        </w:rPr>
        <w:t>,</w:t>
      </w:r>
      <w:r w:rsidRPr="003C0ACE">
        <w:rPr>
          <w:rFonts w:asciiTheme="minorHAnsi" w:hAnsiTheme="minorHAnsi"/>
          <w:sz w:val="22"/>
          <w:szCs w:val="22"/>
        </w:rPr>
        <w:t xml:space="preserve"> including by:</w:t>
      </w:r>
    </w:p>
    <w:p w:rsidR="003C0ACE" w:rsidRPr="003C0ACE" w:rsidRDefault="003C0ACE" w:rsidP="003C0ACE">
      <w:pPr>
        <w:rPr>
          <w:rFonts w:asciiTheme="minorHAnsi" w:hAnsiTheme="minorHAnsi"/>
          <w:sz w:val="22"/>
          <w:szCs w:val="22"/>
        </w:rPr>
      </w:pPr>
      <w:r w:rsidRPr="003C0ACE">
        <w:rPr>
          <w:rFonts w:asciiTheme="minorHAnsi" w:hAnsiTheme="minorHAnsi"/>
          <w:sz w:val="22"/>
          <w:szCs w:val="22"/>
        </w:rPr>
        <w:t xml:space="preserve">Option 1 Alt (paragraphs 41-44): </w:t>
      </w:r>
    </w:p>
    <w:p w:rsidR="003C0ACE" w:rsidRPr="003C0ACE" w:rsidRDefault="003C0ACE" w:rsidP="003C0ACE">
      <w:pPr>
        <w:pStyle w:val="ListParagraph"/>
        <w:numPr>
          <w:ilvl w:val="0"/>
          <w:numId w:val="23"/>
        </w:numPr>
        <w:spacing w:after="160" w:line="259" w:lineRule="auto"/>
        <w:rPr>
          <w:rFonts w:asciiTheme="minorHAnsi" w:hAnsiTheme="minorHAnsi"/>
          <w:sz w:val="22"/>
          <w:szCs w:val="22"/>
        </w:rPr>
      </w:pPr>
      <w:r w:rsidRPr="003C0ACE">
        <w:rPr>
          <w:rFonts w:asciiTheme="minorHAnsi" w:hAnsiTheme="minorHAnsi"/>
          <w:sz w:val="22"/>
          <w:szCs w:val="22"/>
        </w:rPr>
        <w:t xml:space="preserve">Decides to launch a technical examination process on adaptation in the period 2016-2020, building on existing processes and institutions, including the Adaptation Committee </w:t>
      </w:r>
      <w:r w:rsidRPr="003C0ACE">
        <w:rPr>
          <w:rFonts w:asciiTheme="minorHAnsi" w:hAnsiTheme="minorHAnsi"/>
          <w:b/>
          <w:i/>
          <w:sz w:val="22"/>
          <w:szCs w:val="22"/>
          <w:u w:val="single"/>
        </w:rPr>
        <w:t xml:space="preserve">and the relevant mandates outlined in the Lima Work </w:t>
      </w:r>
      <w:proofErr w:type="spellStart"/>
      <w:r w:rsidRPr="003C0ACE">
        <w:rPr>
          <w:rFonts w:asciiTheme="minorHAnsi" w:hAnsiTheme="minorHAnsi"/>
          <w:b/>
          <w:i/>
          <w:sz w:val="22"/>
          <w:szCs w:val="22"/>
          <w:u w:val="single"/>
        </w:rPr>
        <w:t>Programme</w:t>
      </w:r>
      <w:proofErr w:type="spellEnd"/>
      <w:r w:rsidRPr="003C0ACE">
        <w:rPr>
          <w:rFonts w:asciiTheme="minorHAnsi" w:hAnsiTheme="minorHAnsi"/>
          <w:b/>
          <w:i/>
          <w:sz w:val="22"/>
          <w:szCs w:val="22"/>
          <w:u w:val="single"/>
        </w:rPr>
        <w:t xml:space="preserve"> on Gender</w:t>
      </w:r>
      <w:r w:rsidRPr="003C0ACE">
        <w:rPr>
          <w:rFonts w:asciiTheme="minorHAnsi" w:hAnsiTheme="minorHAnsi"/>
          <w:sz w:val="22"/>
          <w:szCs w:val="22"/>
        </w:rPr>
        <w:t>, to enhance adaptation action and support, share best practices and address gaps in implementation, knowledge, finance, technology, planning and institutional capacity;</w:t>
      </w:r>
    </w:p>
    <w:p w:rsidR="003C0ACE" w:rsidRPr="003C0ACE" w:rsidRDefault="003C0ACE">
      <w:pPr>
        <w:spacing w:after="160" w:line="259" w:lineRule="auto"/>
        <w:rPr>
          <w:rFonts w:asciiTheme="minorHAnsi" w:eastAsia="MS Mincho" w:hAnsiTheme="minorHAnsi" w:cs="Times New Roman"/>
          <w:color w:val="212121"/>
          <w:sz w:val="22"/>
          <w:szCs w:val="22"/>
        </w:rPr>
      </w:pPr>
    </w:p>
    <w:sectPr w:rsidR="003C0ACE" w:rsidRPr="003C0ACE" w:rsidSect="00C65280">
      <w:footerReference w:type="default" r:id="rId10"/>
      <w:pgSz w:w="12240" w:h="15840"/>
      <w:pgMar w:top="1152" w:right="1080" w:bottom="1152"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BB1" w:rsidRDefault="00EA0BB1">
      <w:r>
        <w:separator/>
      </w:r>
    </w:p>
  </w:endnote>
  <w:endnote w:type="continuationSeparator" w:id="0">
    <w:p w:rsidR="00EA0BB1" w:rsidRDefault="00EA0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altName w:val="Malgun Gothic"/>
    <w:charset w:val="00"/>
    <w:family w:val="auto"/>
    <w:pitch w:val="variable"/>
    <w:sig w:usb0="8000006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x«ï'1">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9B1" w:rsidRPr="009B793D" w:rsidRDefault="00FC0726">
    <w:pPr>
      <w:pStyle w:val="Footer"/>
      <w:rPr>
        <w:rFonts w:asciiTheme="minorHAnsi" w:hAnsiTheme="minorHAnsi"/>
      </w:rPr>
    </w:pPr>
    <w:r>
      <w:rPr>
        <w:rFonts w:asciiTheme="minorHAnsi" w:hAnsiTheme="minorHAnsi"/>
      </w:rPr>
      <w:t>1</w:t>
    </w:r>
    <w:r w:rsidR="00C73FC6">
      <w:rPr>
        <w:rFonts w:asciiTheme="minorHAnsi" w:hAnsiTheme="minorHAnsi"/>
      </w:rPr>
      <w:t>7</w:t>
    </w:r>
    <w:r w:rsidR="0057024D" w:rsidRPr="00BE539A">
      <w:rPr>
        <w:rFonts w:asciiTheme="minorHAnsi" w:hAnsiTheme="minorHAnsi"/>
      </w:rPr>
      <w:t xml:space="preserve"> </w:t>
    </w:r>
    <w:r>
      <w:rPr>
        <w:rFonts w:asciiTheme="minorHAnsi" w:hAnsiTheme="minorHAnsi"/>
      </w:rPr>
      <w:t xml:space="preserve">November </w:t>
    </w:r>
    <w:r w:rsidR="0057024D" w:rsidRPr="00BE539A">
      <w:rPr>
        <w:rFonts w:asciiTheme="minorHAnsi" w:hAnsiTheme="minorHAnsi"/>
      </w:rPr>
      <w:t>201</w:t>
    </w:r>
    <w:r w:rsidR="00B863EA" w:rsidRPr="00BE539A">
      <w:rPr>
        <w:rFonts w:asciiTheme="minorHAnsi" w:hAnsiTheme="minorHAnsi"/>
      </w:rPr>
      <w:t>5</w:t>
    </w:r>
    <w:r w:rsidR="00B863EA">
      <w:rPr>
        <w:rFonts w:asciiTheme="minorHAnsi" w:hAnsiTheme="minorHAnsi"/>
      </w:rPr>
      <w:tab/>
    </w:r>
    <w:r w:rsidR="00B863EA">
      <w:rPr>
        <w:rFonts w:asciiTheme="minorHAnsi" w:hAnsiTheme="minorHAnsi"/>
      </w:rPr>
      <w:tab/>
    </w:r>
    <w:r w:rsidR="00B863EA">
      <w:rPr>
        <w:rFonts w:asciiTheme="minorHAnsi" w:hAnsiTheme="minorHAnsi"/>
      </w:rPr>
      <w:tab/>
    </w:r>
    <w:r w:rsidR="00B863EA">
      <w:rPr>
        <w:rFonts w:asciiTheme="minorHAnsi" w:hAnsiTheme="minorHAnsi"/>
      </w:rPr>
      <w:fldChar w:fldCharType="begin"/>
    </w:r>
    <w:r w:rsidR="00B863EA">
      <w:rPr>
        <w:rFonts w:asciiTheme="minorHAnsi" w:hAnsiTheme="minorHAnsi"/>
      </w:rPr>
      <w:instrText xml:space="preserve"> PAGE  \* Arabic  \* MERGEFORMAT </w:instrText>
    </w:r>
    <w:r w:rsidR="00B863EA">
      <w:rPr>
        <w:rFonts w:asciiTheme="minorHAnsi" w:hAnsiTheme="minorHAnsi"/>
      </w:rPr>
      <w:fldChar w:fldCharType="separate"/>
    </w:r>
    <w:r w:rsidR="0081660C">
      <w:rPr>
        <w:rFonts w:asciiTheme="minorHAnsi" w:hAnsiTheme="minorHAnsi"/>
        <w:noProof/>
      </w:rPr>
      <w:t>4</w:t>
    </w:r>
    <w:r w:rsidR="00B863EA">
      <w:rPr>
        <w:rFonts w:asciiTheme="minorHAnsi" w:hAnsiTheme="minorHAnsi"/>
      </w:rPr>
      <w:fldChar w:fldCharType="end"/>
    </w:r>
    <w:r w:rsidR="0057024D" w:rsidRPr="0057024D">
      <w:rPr>
        <w:rFonts w:asciiTheme="minorHAnsi" w:hAnsiTheme="minorHAnsi"/>
      </w:rPr>
      <w:ptab w:relativeTo="margin" w:alignment="center" w:leader="none"/>
    </w:r>
    <w:r w:rsidR="0057024D" w:rsidRPr="0057024D">
      <w:rPr>
        <w:rFonts w:asciiTheme="minorHAnsi" w:hAnsiTheme="minorHAnsi"/>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BB1" w:rsidRDefault="00EA0BB1">
      <w:r>
        <w:separator/>
      </w:r>
    </w:p>
  </w:footnote>
  <w:footnote w:type="continuationSeparator" w:id="0">
    <w:p w:rsidR="00EA0BB1" w:rsidRDefault="00EA0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1DD19A9"/>
    <w:multiLevelType w:val="hybridMultilevel"/>
    <w:tmpl w:val="5900D20C"/>
    <w:lvl w:ilvl="0" w:tplc="21DE9C12">
      <w:start w:val="4"/>
      <w:numFmt w:val="lowerLetter"/>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E475E"/>
    <w:multiLevelType w:val="hybridMultilevel"/>
    <w:tmpl w:val="271CBFE4"/>
    <w:lvl w:ilvl="0" w:tplc="1B52916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155F4"/>
    <w:multiLevelType w:val="hybridMultilevel"/>
    <w:tmpl w:val="67D832E8"/>
    <w:lvl w:ilvl="0" w:tplc="48986AFA">
      <w:start w:val="1"/>
      <w:numFmt w:val="lowerLetter"/>
      <w:lvlText w:val="(%1)."/>
      <w:lvlJc w:val="right"/>
      <w:pPr>
        <w:ind w:left="108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4C6F61"/>
    <w:multiLevelType w:val="hybridMultilevel"/>
    <w:tmpl w:val="A300B8C0"/>
    <w:lvl w:ilvl="0" w:tplc="599E8526">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E6014"/>
    <w:multiLevelType w:val="hybridMultilevel"/>
    <w:tmpl w:val="BF8CE1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35553E7"/>
    <w:multiLevelType w:val="hybridMultilevel"/>
    <w:tmpl w:val="162296B6"/>
    <w:lvl w:ilvl="0" w:tplc="54800EB0">
      <w:start w:val="9"/>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248E8"/>
    <w:multiLevelType w:val="hybridMultilevel"/>
    <w:tmpl w:val="5E58D7EC"/>
    <w:lvl w:ilvl="0" w:tplc="013A6774">
      <w:start w:val="3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55EFF"/>
    <w:multiLevelType w:val="hybridMultilevel"/>
    <w:tmpl w:val="036A6B3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EC4064"/>
    <w:multiLevelType w:val="hybridMultilevel"/>
    <w:tmpl w:val="0B3E97C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A57677"/>
    <w:multiLevelType w:val="hybridMultilevel"/>
    <w:tmpl w:val="20F01AB4"/>
    <w:lvl w:ilvl="0" w:tplc="47FABC02">
      <w:start w:val="4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9E4113"/>
    <w:multiLevelType w:val="hybridMultilevel"/>
    <w:tmpl w:val="06AAE632"/>
    <w:lvl w:ilvl="0" w:tplc="357C3400">
      <w:start w:val="35"/>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39082EC0"/>
    <w:multiLevelType w:val="hybridMultilevel"/>
    <w:tmpl w:val="3A7861E4"/>
    <w:lvl w:ilvl="0" w:tplc="792CECC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930233"/>
    <w:multiLevelType w:val="hybridMultilevel"/>
    <w:tmpl w:val="B66838E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827D23"/>
    <w:multiLevelType w:val="hybridMultilevel"/>
    <w:tmpl w:val="F3F224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F069AF"/>
    <w:multiLevelType w:val="hybridMultilevel"/>
    <w:tmpl w:val="23AA8F40"/>
    <w:lvl w:ilvl="0" w:tplc="F4EA37A8">
      <w:start w:val="2"/>
      <w:numFmt w:val="lowerLetter"/>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163F80"/>
    <w:multiLevelType w:val="hybridMultilevel"/>
    <w:tmpl w:val="D602C94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DB6787B"/>
    <w:multiLevelType w:val="hybridMultilevel"/>
    <w:tmpl w:val="ECF414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ECA6D2B"/>
    <w:multiLevelType w:val="hybridMultilevel"/>
    <w:tmpl w:val="FAD8C6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69C58DC"/>
    <w:multiLevelType w:val="hybridMultilevel"/>
    <w:tmpl w:val="7ED888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22F0089"/>
    <w:multiLevelType w:val="hybridMultilevel"/>
    <w:tmpl w:val="03646D3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AB9078B"/>
    <w:multiLevelType w:val="hybridMultilevel"/>
    <w:tmpl w:val="2DA43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A92D2C"/>
    <w:multiLevelType w:val="hybridMultilevel"/>
    <w:tmpl w:val="6A4C8226"/>
    <w:lvl w:ilvl="0" w:tplc="5D98E4C4">
      <w:start w:val="3"/>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8A76520"/>
    <w:multiLevelType w:val="hybridMultilevel"/>
    <w:tmpl w:val="DA72EB8C"/>
    <w:lvl w:ilvl="0" w:tplc="A152574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16"/>
  </w:num>
  <w:num w:numId="4">
    <w:abstractNumId w:val="21"/>
  </w:num>
  <w:num w:numId="5">
    <w:abstractNumId w:val="12"/>
  </w:num>
  <w:num w:numId="6">
    <w:abstractNumId w:val="20"/>
  </w:num>
  <w:num w:numId="7">
    <w:abstractNumId w:val="9"/>
  </w:num>
  <w:num w:numId="8">
    <w:abstractNumId w:val="0"/>
  </w:num>
  <w:num w:numId="9">
    <w:abstractNumId w:val="19"/>
  </w:num>
  <w:num w:numId="10">
    <w:abstractNumId w:val="14"/>
  </w:num>
  <w:num w:numId="11">
    <w:abstractNumId w:val="8"/>
  </w:num>
  <w:num w:numId="12">
    <w:abstractNumId w:val="18"/>
  </w:num>
  <w:num w:numId="13">
    <w:abstractNumId w:val="17"/>
  </w:num>
  <w:num w:numId="14">
    <w:abstractNumId w:val="4"/>
  </w:num>
  <w:num w:numId="15">
    <w:abstractNumId w:val="6"/>
  </w:num>
  <w:num w:numId="16">
    <w:abstractNumId w:val="3"/>
  </w:num>
  <w:num w:numId="17">
    <w:abstractNumId w:val="23"/>
  </w:num>
  <w:num w:numId="18">
    <w:abstractNumId w:val="2"/>
  </w:num>
  <w:num w:numId="19">
    <w:abstractNumId w:val="15"/>
  </w:num>
  <w:num w:numId="20">
    <w:abstractNumId w:val="1"/>
  </w:num>
  <w:num w:numId="21">
    <w:abstractNumId w:val="11"/>
  </w:num>
  <w:num w:numId="22">
    <w:abstractNumId w:val="7"/>
  </w:num>
  <w:num w:numId="23">
    <w:abstractNumId w:val="1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796"/>
    <w:rsid w:val="00035D7C"/>
    <w:rsid w:val="00054709"/>
    <w:rsid w:val="00057BE4"/>
    <w:rsid w:val="00057F36"/>
    <w:rsid w:val="00067BAA"/>
    <w:rsid w:val="000E2CF5"/>
    <w:rsid w:val="00157EEC"/>
    <w:rsid w:val="001816BA"/>
    <w:rsid w:val="00193FEB"/>
    <w:rsid w:val="001A7548"/>
    <w:rsid w:val="001D439B"/>
    <w:rsid w:val="0022256D"/>
    <w:rsid w:val="00230385"/>
    <w:rsid w:val="00245D12"/>
    <w:rsid w:val="00246A6F"/>
    <w:rsid w:val="002D0336"/>
    <w:rsid w:val="002D1822"/>
    <w:rsid w:val="002D6CC2"/>
    <w:rsid w:val="002F5EC7"/>
    <w:rsid w:val="00333B23"/>
    <w:rsid w:val="003B2E2D"/>
    <w:rsid w:val="003C0ACE"/>
    <w:rsid w:val="003E1545"/>
    <w:rsid w:val="004061D6"/>
    <w:rsid w:val="004334EF"/>
    <w:rsid w:val="004448D6"/>
    <w:rsid w:val="004453E9"/>
    <w:rsid w:val="004469C8"/>
    <w:rsid w:val="004618A4"/>
    <w:rsid w:val="00466CCF"/>
    <w:rsid w:val="004A3A13"/>
    <w:rsid w:val="004B7795"/>
    <w:rsid w:val="004D064D"/>
    <w:rsid w:val="004D334E"/>
    <w:rsid w:val="00516432"/>
    <w:rsid w:val="00516CB1"/>
    <w:rsid w:val="0054211E"/>
    <w:rsid w:val="005615E3"/>
    <w:rsid w:val="00564B96"/>
    <w:rsid w:val="00564FBC"/>
    <w:rsid w:val="0057024D"/>
    <w:rsid w:val="005749BF"/>
    <w:rsid w:val="0058656F"/>
    <w:rsid w:val="005915EE"/>
    <w:rsid w:val="005A087D"/>
    <w:rsid w:val="005B41B8"/>
    <w:rsid w:val="005D5671"/>
    <w:rsid w:val="005E6408"/>
    <w:rsid w:val="005F3F8B"/>
    <w:rsid w:val="00622213"/>
    <w:rsid w:val="00625159"/>
    <w:rsid w:val="006478EA"/>
    <w:rsid w:val="00651E07"/>
    <w:rsid w:val="00663A8D"/>
    <w:rsid w:val="0067486C"/>
    <w:rsid w:val="00681446"/>
    <w:rsid w:val="00690AF5"/>
    <w:rsid w:val="006B1AAE"/>
    <w:rsid w:val="006B54C9"/>
    <w:rsid w:val="006E7081"/>
    <w:rsid w:val="00705DC9"/>
    <w:rsid w:val="00736AE1"/>
    <w:rsid w:val="00756F6D"/>
    <w:rsid w:val="007649D2"/>
    <w:rsid w:val="00774397"/>
    <w:rsid w:val="0081660C"/>
    <w:rsid w:val="00875E28"/>
    <w:rsid w:val="008C0566"/>
    <w:rsid w:val="008E2CFC"/>
    <w:rsid w:val="008F2BFF"/>
    <w:rsid w:val="008F5F7E"/>
    <w:rsid w:val="00931DD8"/>
    <w:rsid w:val="00940DB0"/>
    <w:rsid w:val="0095155D"/>
    <w:rsid w:val="00952E7C"/>
    <w:rsid w:val="00963FC3"/>
    <w:rsid w:val="00974A24"/>
    <w:rsid w:val="009A6D85"/>
    <w:rsid w:val="009A7EE7"/>
    <w:rsid w:val="009B7255"/>
    <w:rsid w:val="009B793D"/>
    <w:rsid w:val="009D0227"/>
    <w:rsid w:val="009E030A"/>
    <w:rsid w:val="009F30B2"/>
    <w:rsid w:val="00A0222A"/>
    <w:rsid w:val="00A13D36"/>
    <w:rsid w:val="00A355F1"/>
    <w:rsid w:val="00A47168"/>
    <w:rsid w:val="00A47D89"/>
    <w:rsid w:val="00A70821"/>
    <w:rsid w:val="00A82D06"/>
    <w:rsid w:val="00A9445D"/>
    <w:rsid w:val="00A95977"/>
    <w:rsid w:val="00A97B04"/>
    <w:rsid w:val="00AD2E06"/>
    <w:rsid w:val="00AE0E5F"/>
    <w:rsid w:val="00B52D64"/>
    <w:rsid w:val="00B541B9"/>
    <w:rsid w:val="00B76E9C"/>
    <w:rsid w:val="00B857EF"/>
    <w:rsid w:val="00B863EA"/>
    <w:rsid w:val="00BA4417"/>
    <w:rsid w:val="00BA4CD9"/>
    <w:rsid w:val="00BC19F2"/>
    <w:rsid w:val="00BC610E"/>
    <w:rsid w:val="00BE539A"/>
    <w:rsid w:val="00BF4EA5"/>
    <w:rsid w:val="00BF6FF6"/>
    <w:rsid w:val="00C0039B"/>
    <w:rsid w:val="00C06B95"/>
    <w:rsid w:val="00C14EF1"/>
    <w:rsid w:val="00C31796"/>
    <w:rsid w:val="00C54099"/>
    <w:rsid w:val="00C65280"/>
    <w:rsid w:val="00C73FC6"/>
    <w:rsid w:val="00CA7EAC"/>
    <w:rsid w:val="00CB7486"/>
    <w:rsid w:val="00CE23AC"/>
    <w:rsid w:val="00CF26F1"/>
    <w:rsid w:val="00D0563D"/>
    <w:rsid w:val="00D23655"/>
    <w:rsid w:val="00D34BE8"/>
    <w:rsid w:val="00D44DEE"/>
    <w:rsid w:val="00DC2FF2"/>
    <w:rsid w:val="00DC70BC"/>
    <w:rsid w:val="00E039C4"/>
    <w:rsid w:val="00E31DCD"/>
    <w:rsid w:val="00E449BB"/>
    <w:rsid w:val="00E73AB3"/>
    <w:rsid w:val="00EA0BB1"/>
    <w:rsid w:val="00EB1C3D"/>
    <w:rsid w:val="00EB4FF4"/>
    <w:rsid w:val="00EC0428"/>
    <w:rsid w:val="00EC3334"/>
    <w:rsid w:val="00EC5412"/>
    <w:rsid w:val="00EC73A6"/>
    <w:rsid w:val="00F10E03"/>
    <w:rsid w:val="00F27530"/>
    <w:rsid w:val="00F504CC"/>
    <w:rsid w:val="00F529FC"/>
    <w:rsid w:val="00FA6009"/>
    <w:rsid w:val="00FB1E39"/>
    <w:rsid w:val="00FC0250"/>
    <w:rsid w:val="00FC0726"/>
    <w:rsid w:val="00FF22F5"/>
    <w:rsid w:val="00FF2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C89583-FE0A-4DE4-81C2-33158560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F7E"/>
    <w:pPr>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References,List Paragraph1"/>
    <w:basedOn w:val="Normal"/>
    <w:link w:val="ListParagraphChar"/>
    <w:uiPriority w:val="34"/>
    <w:qFormat/>
    <w:rsid w:val="008F5F7E"/>
    <w:pPr>
      <w:ind w:left="720"/>
      <w:contextualSpacing/>
    </w:pPr>
  </w:style>
  <w:style w:type="paragraph" w:customStyle="1" w:styleId="Default">
    <w:name w:val="Default"/>
    <w:rsid w:val="008F5F7E"/>
    <w:pPr>
      <w:autoSpaceDE w:val="0"/>
      <w:autoSpaceDN w:val="0"/>
      <w:adjustRightInd w:val="0"/>
      <w:spacing w:after="0" w:line="240" w:lineRule="auto"/>
    </w:pPr>
    <w:rPr>
      <w:rFonts w:ascii="Helvetica Neue" w:eastAsia="Calibri" w:hAnsi="Helvetica Neue" w:cs="Helvetica Neue"/>
      <w:color w:val="000000"/>
      <w:sz w:val="24"/>
      <w:szCs w:val="24"/>
    </w:rPr>
  </w:style>
  <w:style w:type="paragraph" w:styleId="Footer">
    <w:name w:val="footer"/>
    <w:basedOn w:val="Normal"/>
    <w:link w:val="FooterChar"/>
    <w:uiPriority w:val="99"/>
    <w:unhideWhenUsed/>
    <w:rsid w:val="008F5F7E"/>
    <w:pPr>
      <w:tabs>
        <w:tab w:val="center" w:pos="4320"/>
        <w:tab w:val="right" w:pos="8640"/>
      </w:tabs>
    </w:pPr>
  </w:style>
  <w:style w:type="character" w:customStyle="1" w:styleId="FooterChar">
    <w:name w:val="Footer Char"/>
    <w:basedOn w:val="DefaultParagraphFont"/>
    <w:link w:val="Footer"/>
    <w:uiPriority w:val="99"/>
    <w:rsid w:val="008F5F7E"/>
    <w:rPr>
      <w:rFonts w:ascii="Times New Roman" w:hAnsi="Times New Roman"/>
      <w:sz w:val="24"/>
      <w:szCs w:val="24"/>
    </w:rPr>
  </w:style>
  <w:style w:type="character" w:customStyle="1" w:styleId="ListParagraphChar">
    <w:name w:val="List Paragraph Char"/>
    <w:aliases w:val="Ha Char,References Char,List Paragraph1 Char"/>
    <w:link w:val="ListParagraph"/>
    <w:uiPriority w:val="34"/>
    <w:locked/>
    <w:rsid w:val="008F5F7E"/>
    <w:rPr>
      <w:rFonts w:ascii="Times New Roman" w:hAnsi="Times New Roman"/>
      <w:sz w:val="24"/>
      <w:szCs w:val="24"/>
    </w:rPr>
  </w:style>
  <w:style w:type="paragraph" w:customStyle="1" w:styleId="Normal1">
    <w:name w:val="Normal1"/>
    <w:rsid w:val="008F5F7E"/>
    <w:pPr>
      <w:spacing w:after="0" w:line="276" w:lineRule="auto"/>
    </w:pPr>
    <w:rPr>
      <w:rFonts w:ascii="Arial" w:eastAsia="Arial" w:hAnsi="Arial" w:cs="Arial"/>
      <w:color w:val="000000"/>
      <w:szCs w:val="20"/>
      <w:lang w:val="de-DE" w:eastAsia="de-DE"/>
    </w:rPr>
  </w:style>
  <w:style w:type="character" w:styleId="Hyperlink">
    <w:name w:val="Hyperlink"/>
    <w:uiPriority w:val="99"/>
    <w:unhideWhenUsed/>
    <w:rsid w:val="008F5F7E"/>
    <w:rPr>
      <w:color w:val="0000FF"/>
      <w:u w:val="single"/>
    </w:rPr>
  </w:style>
  <w:style w:type="paragraph" w:styleId="BalloonText">
    <w:name w:val="Balloon Text"/>
    <w:basedOn w:val="Normal"/>
    <w:link w:val="BalloonTextChar"/>
    <w:uiPriority w:val="99"/>
    <w:semiHidden/>
    <w:unhideWhenUsed/>
    <w:rsid w:val="006B1A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AAE"/>
    <w:rPr>
      <w:rFonts w:ascii="Segoe UI" w:hAnsi="Segoe UI" w:cs="Segoe UI"/>
      <w:sz w:val="18"/>
      <w:szCs w:val="18"/>
    </w:rPr>
  </w:style>
  <w:style w:type="character" w:styleId="CommentReference">
    <w:name w:val="annotation reference"/>
    <w:basedOn w:val="DefaultParagraphFont"/>
    <w:uiPriority w:val="99"/>
    <w:semiHidden/>
    <w:unhideWhenUsed/>
    <w:rsid w:val="00663A8D"/>
    <w:rPr>
      <w:sz w:val="16"/>
      <w:szCs w:val="16"/>
    </w:rPr>
  </w:style>
  <w:style w:type="paragraph" w:styleId="CommentText">
    <w:name w:val="annotation text"/>
    <w:basedOn w:val="Normal"/>
    <w:link w:val="CommentTextChar"/>
    <w:uiPriority w:val="99"/>
    <w:semiHidden/>
    <w:unhideWhenUsed/>
    <w:rsid w:val="00663A8D"/>
    <w:rPr>
      <w:sz w:val="20"/>
      <w:szCs w:val="20"/>
    </w:rPr>
  </w:style>
  <w:style w:type="character" w:customStyle="1" w:styleId="CommentTextChar">
    <w:name w:val="Comment Text Char"/>
    <w:basedOn w:val="DefaultParagraphFont"/>
    <w:link w:val="CommentText"/>
    <w:uiPriority w:val="99"/>
    <w:semiHidden/>
    <w:rsid w:val="00663A8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63A8D"/>
    <w:rPr>
      <w:b/>
      <w:bCs/>
    </w:rPr>
  </w:style>
  <w:style w:type="character" w:customStyle="1" w:styleId="CommentSubjectChar">
    <w:name w:val="Comment Subject Char"/>
    <w:basedOn w:val="CommentTextChar"/>
    <w:link w:val="CommentSubject"/>
    <w:uiPriority w:val="99"/>
    <w:semiHidden/>
    <w:rsid w:val="00663A8D"/>
    <w:rPr>
      <w:rFonts w:ascii="Times New Roman" w:hAnsi="Times New Roman"/>
      <w:b/>
      <w:bCs/>
      <w:sz w:val="20"/>
      <w:szCs w:val="20"/>
    </w:rPr>
  </w:style>
  <w:style w:type="paragraph" w:styleId="Header">
    <w:name w:val="header"/>
    <w:basedOn w:val="Normal"/>
    <w:link w:val="HeaderChar"/>
    <w:uiPriority w:val="99"/>
    <w:unhideWhenUsed/>
    <w:rsid w:val="009B793D"/>
    <w:pPr>
      <w:tabs>
        <w:tab w:val="center" w:pos="4680"/>
        <w:tab w:val="right" w:pos="9360"/>
      </w:tabs>
    </w:pPr>
  </w:style>
  <w:style w:type="character" w:customStyle="1" w:styleId="HeaderChar">
    <w:name w:val="Header Char"/>
    <w:basedOn w:val="DefaultParagraphFont"/>
    <w:link w:val="Header"/>
    <w:uiPriority w:val="99"/>
    <w:rsid w:val="009B793D"/>
    <w:rPr>
      <w:rFonts w:ascii="Times New Roman" w:hAnsi="Times New Roman"/>
      <w:sz w:val="24"/>
      <w:szCs w:val="24"/>
    </w:rPr>
  </w:style>
  <w:style w:type="character" w:styleId="FollowedHyperlink">
    <w:name w:val="FollowedHyperlink"/>
    <w:basedOn w:val="DefaultParagraphFont"/>
    <w:uiPriority w:val="99"/>
    <w:semiHidden/>
    <w:unhideWhenUsed/>
    <w:rsid w:val="004334EF"/>
    <w:rPr>
      <w:color w:val="954F72" w:themeColor="followedHyperlink"/>
      <w:u w:val="single"/>
    </w:rPr>
  </w:style>
  <w:style w:type="paragraph" w:customStyle="1" w:styleId="xmsonormal">
    <w:name w:val="x_msonormal"/>
    <w:basedOn w:val="Normal"/>
    <w:rsid w:val="006478EA"/>
    <w:pPr>
      <w:spacing w:before="100" w:beforeAutospacing="1" w:after="100" w:afterAutospacing="1"/>
    </w:pPr>
    <w:rPr>
      <w:rFonts w:ascii="Times" w:eastAsia="MS Mincho"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0FB9B.C99DF7A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nfccc.int/files/meetings/lima_dec_2014/decisions/application/pdf/auv_cop20_gend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1412</Words>
  <Characters>8050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Verona Collantes</dc:creator>
  <cp:keywords/>
  <dc:description/>
  <cp:lastModifiedBy>Verona Collantes</cp:lastModifiedBy>
  <cp:revision>20</cp:revision>
  <cp:lastPrinted>2015-10-01T14:00:00Z</cp:lastPrinted>
  <dcterms:created xsi:type="dcterms:W3CDTF">2015-11-17T15:38:00Z</dcterms:created>
  <dcterms:modified xsi:type="dcterms:W3CDTF">2015-11-17T17:50:00Z</dcterms:modified>
</cp:coreProperties>
</file>