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8096" w14:textId="557ACBBE" w:rsidR="009F04AD" w:rsidRPr="00CF4800" w:rsidRDefault="009F04AD" w:rsidP="756136D8">
      <w:pPr>
        <w:spacing w:after="0" w:line="240" w:lineRule="auto"/>
        <w:jc w:val="center"/>
        <w:rPr>
          <w:b/>
          <w:bCs/>
          <w:color w:val="000000" w:themeColor="text1"/>
          <w:sz w:val="32"/>
          <w:szCs w:val="32"/>
        </w:rPr>
      </w:pPr>
      <w:r w:rsidRPr="00CF4800">
        <w:rPr>
          <w:b/>
          <w:bCs/>
          <w:color w:val="000000" w:themeColor="text1"/>
          <w:sz w:val="32"/>
          <w:szCs w:val="32"/>
        </w:rPr>
        <w:t xml:space="preserve">Women’s Peace and Humanitarian Fund </w:t>
      </w:r>
    </w:p>
    <w:p w14:paraId="763AEB55" w14:textId="77777777" w:rsidR="009F04AD" w:rsidRPr="00CF4800" w:rsidRDefault="009F04AD" w:rsidP="009F04AD">
      <w:pPr>
        <w:spacing w:after="0" w:line="240" w:lineRule="auto"/>
        <w:jc w:val="center"/>
        <w:rPr>
          <w:b/>
          <w:color w:val="000000" w:themeColor="text1"/>
          <w:sz w:val="32"/>
          <w:szCs w:val="32"/>
        </w:rPr>
      </w:pPr>
      <w:r w:rsidRPr="00CF4800">
        <w:rPr>
          <w:b/>
          <w:color w:val="000000" w:themeColor="text1"/>
          <w:sz w:val="32"/>
          <w:szCs w:val="32"/>
        </w:rPr>
        <w:t>Call for Proposal</w:t>
      </w:r>
    </w:p>
    <w:p w14:paraId="4D630AFF" w14:textId="77777777" w:rsidR="009F04AD" w:rsidRPr="00CF4800" w:rsidRDefault="009F04AD" w:rsidP="009F04AD">
      <w:pPr>
        <w:pStyle w:val="FootnoteText"/>
        <w:rPr>
          <w:color w:val="000000" w:themeColor="text1"/>
        </w:rPr>
      </w:pPr>
    </w:p>
    <w:p w14:paraId="307DAE77" w14:textId="2A98D1C7" w:rsidR="009F04AD" w:rsidRPr="00CF4800" w:rsidRDefault="009F04AD" w:rsidP="009F04AD">
      <w:pPr>
        <w:spacing w:after="0"/>
        <w:jc w:val="center"/>
        <w:rPr>
          <w:b/>
          <w:i/>
          <w:color w:val="000000" w:themeColor="text1"/>
          <w:sz w:val="24"/>
          <w:szCs w:val="24"/>
        </w:rPr>
      </w:pPr>
      <w:r w:rsidRPr="00CF4800">
        <w:rPr>
          <w:b/>
          <w:i/>
          <w:color w:val="000000" w:themeColor="text1"/>
          <w:sz w:val="24"/>
          <w:szCs w:val="24"/>
        </w:rPr>
        <w:t xml:space="preserve">Call for proposals </w:t>
      </w:r>
      <w:r w:rsidR="003727EB" w:rsidRPr="00CF4800">
        <w:rPr>
          <w:b/>
          <w:i/>
          <w:color w:val="000000" w:themeColor="text1"/>
          <w:sz w:val="24"/>
          <w:szCs w:val="24"/>
        </w:rPr>
        <w:t>in the Pacific Region</w:t>
      </w:r>
    </w:p>
    <w:p w14:paraId="6A58AB29" w14:textId="77777777" w:rsidR="009F04AD" w:rsidRPr="00CF4800" w:rsidRDefault="009F04AD" w:rsidP="009F04AD">
      <w:pPr>
        <w:spacing w:after="0" w:line="240" w:lineRule="auto"/>
        <w:jc w:val="center"/>
        <w:rPr>
          <w:color w:val="000000" w:themeColor="text1"/>
          <w:sz w:val="14"/>
          <w:szCs w:val="14"/>
        </w:rPr>
      </w:pPr>
    </w:p>
    <w:p w14:paraId="66AB2BD1" w14:textId="64834DB2" w:rsidR="009F04AD" w:rsidRPr="008B67B7" w:rsidRDefault="009F04AD" w:rsidP="009F04AD">
      <w:pPr>
        <w:spacing w:after="0" w:line="240" w:lineRule="auto"/>
        <w:jc w:val="center"/>
        <w:rPr>
          <w:b/>
          <w:i/>
          <w:color w:val="000000" w:themeColor="text1"/>
          <w:sz w:val="24"/>
          <w:szCs w:val="24"/>
        </w:rPr>
      </w:pPr>
      <w:r w:rsidRPr="00CF4800">
        <w:rPr>
          <w:b/>
          <w:i/>
          <w:color w:val="000000" w:themeColor="text1"/>
          <w:sz w:val="24"/>
          <w:szCs w:val="24"/>
        </w:rPr>
        <w:t xml:space="preserve"> </w:t>
      </w:r>
      <w:r w:rsidRPr="008B67B7">
        <w:rPr>
          <w:b/>
          <w:i/>
          <w:color w:val="000000" w:themeColor="text1"/>
          <w:sz w:val="24"/>
          <w:szCs w:val="24"/>
        </w:rPr>
        <w:t xml:space="preserve">Call Opens: </w:t>
      </w:r>
      <w:r w:rsidR="008B67B7" w:rsidRPr="008B67B7">
        <w:rPr>
          <w:b/>
          <w:i/>
          <w:color w:val="000000" w:themeColor="text1"/>
          <w:sz w:val="24"/>
          <w:szCs w:val="24"/>
        </w:rPr>
        <w:t>05/07/2021</w:t>
      </w:r>
    </w:p>
    <w:p w14:paraId="4FBCEEA8" w14:textId="4C06AF3F" w:rsidR="009F04AD" w:rsidRPr="00CF4800" w:rsidRDefault="009F04AD" w:rsidP="009F04AD">
      <w:pPr>
        <w:spacing w:after="0" w:line="240" w:lineRule="auto"/>
        <w:jc w:val="center"/>
        <w:rPr>
          <w:b/>
          <w:i/>
          <w:color w:val="000000" w:themeColor="text1"/>
          <w:sz w:val="24"/>
          <w:szCs w:val="24"/>
        </w:rPr>
      </w:pPr>
      <w:r w:rsidRPr="008B67B7">
        <w:rPr>
          <w:b/>
          <w:i/>
          <w:color w:val="000000" w:themeColor="text1"/>
          <w:sz w:val="24"/>
          <w:szCs w:val="24"/>
        </w:rPr>
        <w:t xml:space="preserve">Deadline for Submissions: </w:t>
      </w:r>
      <w:r w:rsidR="008B67B7">
        <w:rPr>
          <w:b/>
          <w:i/>
          <w:color w:val="000000" w:themeColor="text1"/>
          <w:sz w:val="24"/>
          <w:szCs w:val="24"/>
        </w:rPr>
        <w:t>16/08/2021</w:t>
      </w:r>
      <w:r w:rsidRPr="008B67B7">
        <w:rPr>
          <w:b/>
          <w:i/>
          <w:color w:val="000000" w:themeColor="text1"/>
          <w:sz w:val="24"/>
          <w:szCs w:val="24"/>
        </w:rPr>
        <w:t xml:space="preserve"> (</w:t>
      </w:r>
      <w:r w:rsidR="007C1729" w:rsidRPr="008B67B7">
        <w:rPr>
          <w:b/>
          <w:i/>
          <w:color w:val="000000" w:themeColor="text1"/>
          <w:sz w:val="24"/>
          <w:szCs w:val="24"/>
        </w:rPr>
        <w:t>6</w:t>
      </w:r>
      <w:r w:rsidRPr="008B67B7">
        <w:rPr>
          <w:b/>
          <w:i/>
          <w:color w:val="000000" w:themeColor="text1"/>
          <w:sz w:val="24"/>
          <w:szCs w:val="24"/>
        </w:rPr>
        <w:t xml:space="preserve"> weeks)</w:t>
      </w:r>
    </w:p>
    <w:p w14:paraId="68BA0580" w14:textId="77777777" w:rsidR="001253D5" w:rsidRPr="00CF4800" w:rsidRDefault="001253D5" w:rsidP="000B7AA6">
      <w:pPr>
        <w:spacing w:after="0"/>
        <w:rPr>
          <w:color w:val="000000" w:themeColor="text1"/>
          <w:sz w:val="24"/>
          <w:szCs w:val="24"/>
        </w:rPr>
      </w:pPr>
    </w:p>
    <w:p w14:paraId="217F763E" w14:textId="77777777" w:rsidR="00433728" w:rsidRPr="00CF4800" w:rsidRDefault="00433728" w:rsidP="000B7AA6">
      <w:pPr>
        <w:spacing w:after="0"/>
        <w:rPr>
          <w:b/>
          <w:color w:val="000000" w:themeColor="text1"/>
          <w:sz w:val="24"/>
          <w:szCs w:val="24"/>
        </w:rPr>
      </w:pPr>
    </w:p>
    <w:p w14:paraId="04612948" w14:textId="77777777" w:rsidR="00306EEB" w:rsidRPr="00CF4800" w:rsidRDefault="00306EEB" w:rsidP="00306EEB">
      <w:pPr>
        <w:pStyle w:val="ListParagraph"/>
        <w:numPr>
          <w:ilvl w:val="0"/>
          <w:numId w:val="1"/>
        </w:numPr>
        <w:spacing w:after="0" w:line="240" w:lineRule="auto"/>
        <w:ind w:left="360"/>
        <w:jc w:val="both"/>
        <w:rPr>
          <w:b/>
          <w:color w:val="000000" w:themeColor="text1"/>
        </w:rPr>
      </w:pPr>
      <w:r w:rsidRPr="00CF4800">
        <w:rPr>
          <w:b/>
          <w:color w:val="000000" w:themeColor="text1"/>
        </w:rPr>
        <w:t>About the Women’s Peace and Humanitarian Fund (WPHF)</w:t>
      </w:r>
    </w:p>
    <w:p w14:paraId="1E796A80" w14:textId="77777777" w:rsidR="00306EEB" w:rsidRPr="00CF4800" w:rsidRDefault="00306EEB" w:rsidP="00306EEB">
      <w:pPr>
        <w:pStyle w:val="ListParagraph"/>
        <w:spacing w:after="0" w:line="240" w:lineRule="auto"/>
        <w:ind w:left="360"/>
        <w:jc w:val="both"/>
        <w:rPr>
          <w:b/>
          <w:color w:val="000000" w:themeColor="text1"/>
        </w:rPr>
      </w:pPr>
    </w:p>
    <w:p w14:paraId="53125266" w14:textId="77777777" w:rsidR="005F1644" w:rsidRPr="00CF4800" w:rsidRDefault="005F1644" w:rsidP="005F1644">
      <w:pPr>
        <w:spacing w:after="0" w:line="240" w:lineRule="auto"/>
        <w:jc w:val="both"/>
        <w:rPr>
          <w:color w:val="000000" w:themeColor="text1"/>
        </w:rPr>
      </w:pPr>
      <w:r w:rsidRPr="00CF4800">
        <w:rPr>
          <w:color w:val="000000" w:themeColor="text1"/>
        </w:rPr>
        <w:t>Composed of representatives from donors, United Nations entities, and civil society organizations, the WPHF is a global pooled funding mechanism which aims to re-energize action and stimulate a significant increase in financing for women’s participation, leadership, and empowerment in peace and security processes and humanitarian response. The WPHF is a flexible and rapid financing mechanism. It supports quality interventions designed to enhance the capacity of local women to prevent conflict, respond to crises and emergencies, and seize key peacebuilding opportunities.</w:t>
      </w:r>
    </w:p>
    <w:p w14:paraId="00EFF524" w14:textId="77777777" w:rsidR="005F1644" w:rsidRPr="00CF4800" w:rsidRDefault="005F1644" w:rsidP="005F1644">
      <w:pPr>
        <w:spacing w:after="0" w:line="240" w:lineRule="auto"/>
        <w:jc w:val="both"/>
        <w:rPr>
          <w:color w:val="000000" w:themeColor="text1"/>
        </w:rPr>
      </w:pPr>
    </w:p>
    <w:p w14:paraId="109C10A4" w14:textId="23616A87" w:rsidR="005F1644" w:rsidRPr="00CF4800" w:rsidRDefault="005F1644" w:rsidP="005F1644">
      <w:pPr>
        <w:spacing w:after="0" w:line="240" w:lineRule="auto"/>
        <w:jc w:val="both"/>
        <w:rPr>
          <w:rFonts w:ascii="Calibri" w:hAnsi="Calibri" w:cs="Arial"/>
          <w:color w:val="000000" w:themeColor="text1"/>
        </w:rPr>
      </w:pPr>
      <w:r w:rsidRPr="00CF4800">
        <w:rPr>
          <w:rFonts w:ascii="Calibri" w:hAnsi="Calibri" w:cs="Calibri"/>
          <w:color w:val="000000" w:themeColor="text1"/>
          <w:lang w:eastAsia="en-GB"/>
        </w:rPr>
        <w:t>The WPHF</w:t>
      </w:r>
      <w:r w:rsidRPr="00CF4800">
        <w:rPr>
          <w:rFonts w:ascii="Calibri" w:hAnsi="Calibri"/>
          <w:color w:val="000000" w:themeColor="text1"/>
        </w:rPr>
        <w:t xml:space="preserve"> breaks silos between humanitarian, peace, security, and development finance by i</w:t>
      </w:r>
      <w:r w:rsidRPr="00CF4800">
        <w:rPr>
          <w:rFonts w:ascii="Calibri" w:hAnsi="Calibri" w:cs="Arial"/>
          <w:color w:val="000000" w:themeColor="text1"/>
        </w:rPr>
        <w:t xml:space="preserve">nvesting in enhancing women’s engagement, leadership, and empowerment across all phases of crisis, peace and security, and development. It addresses structural funding gaps for women’s participation in key phases of crisis, peace and security, and development by improving the timeliness, </w:t>
      </w:r>
      <w:r w:rsidR="007C120C" w:rsidRPr="00CF4800">
        <w:rPr>
          <w:rFonts w:ascii="Calibri" w:hAnsi="Calibri" w:cs="Arial"/>
          <w:color w:val="000000" w:themeColor="text1"/>
        </w:rPr>
        <w:t>predictability,</w:t>
      </w:r>
      <w:r w:rsidRPr="00CF4800">
        <w:rPr>
          <w:rFonts w:ascii="Calibri" w:hAnsi="Calibri" w:cs="Arial"/>
          <w:color w:val="000000" w:themeColor="text1"/>
        </w:rPr>
        <w:t xml:space="preserve"> and flexibility of international assistance. Notably, it will ensure a timely investment in conflict prevention after receipt of early warning signals from women and will accelerate the dispersal of development assistance after successful peace negotiations. I</w:t>
      </w:r>
      <w:r w:rsidRPr="00CF4800">
        <w:rPr>
          <w:rFonts w:ascii="Calibri" w:hAnsi="Calibri" w:cs="Calibri"/>
          <w:color w:val="000000" w:themeColor="text1"/>
          <w:lang w:eastAsia="en-GB"/>
        </w:rPr>
        <w:t xml:space="preserve">t recognizes that peace cannot be created nor sustained without investment in civil society organizations. Therefore, the WPHF </w:t>
      </w:r>
      <w:r w:rsidRPr="00CF4800">
        <w:rPr>
          <w:rFonts w:ascii="Calibri" w:hAnsi="Calibri" w:cs="Arial"/>
          <w:color w:val="000000" w:themeColor="text1"/>
        </w:rPr>
        <w:t>invests</w:t>
      </w:r>
      <w:r w:rsidRPr="00CF4800">
        <w:rPr>
          <w:rFonts w:ascii="Calibri" w:hAnsi="Calibri" w:cs="Calibri"/>
          <w:color w:val="000000" w:themeColor="text1"/>
          <w:lang w:eastAsia="en-GB"/>
        </w:rPr>
        <w:t xml:space="preserve"> in strengthening civil society organizations, particularly in grassroots women’s organizations, with the required financial and </w:t>
      </w:r>
      <w:r w:rsidRPr="00CF4800">
        <w:rPr>
          <w:rFonts w:ascii="Calibri" w:hAnsi="Calibri" w:cs="Arial"/>
          <w:color w:val="000000" w:themeColor="text1"/>
        </w:rPr>
        <w:t>technical support.</w:t>
      </w:r>
    </w:p>
    <w:p w14:paraId="4E371DA6" w14:textId="77777777" w:rsidR="005F1644" w:rsidRPr="00CF4800" w:rsidRDefault="005F1644" w:rsidP="005F1644">
      <w:pPr>
        <w:spacing w:after="0" w:line="240" w:lineRule="auto"/>
        <w:jc w:val="both"/>
        <w:rPr>
          <w:rFonts w:ascii="Calibri" w:hAnsi="Calibri" w:cs="Arial"/>
          <w:color w:val="000000" w:themeColor="text1"/>
          <w:highlight w:val="green"/>
        </w:rPr>
      </w:pPr>
    </w:p>
    <w:p w14:paraId="337945E1" w14:textId="77777777" w:rsidR="005F1644" w:rsidRPr="00CF4800" w:rsidRDefault="005F1644" w:rsidP="005F1644">
      <w:pPr>
        <w:spacing w:after="0" w:line="240" w:lineRule="auto"/>
        <w:jc w:val="both"/>
        <w:rPr>
          <w:color w:val="000000" w:themeColor="text1"/>
        </w:rPr>
      </w:pPr>
      <w:r w:rsidRPr="00CF4800">
        <w:rPr>
          <w:rFonts w:ascii="Calibri" w:hAnsi="Calibri"/>
          <w:color w:val="000000" w:themeColor="text1"/>
        </w:rPr>
        <w:t xml:space="preserve">The overall goal of the WPHF’s theory of change is to contribute to </w:t>
      </w:r>
      <w:r w:rsidRPr="00CF4800">
        <w:rPr>
          <w:rFonts w:ascii="Calibri" w:hAnsi="Calibri"/>
          <w:b/>
          <w:bCs/>
          <w:color w:val="000000" w:themeColor="text1"/>
        </w:rPr>
        <w:t>peaceful and gender equal societies</w:t>
      </w:r>
      <w:r w:rsidRPr="00CF4800">
        <w:rPr>
          <w:rFonts w:ascii="Calibri" w:hAnsi="Calibri"/>
          <w:color w:val="000000" w:themeColor="text1"/>
        </w:rPr>
        <w:t>. Achievement of this goal will require that women are empowered to participate in, contribute to, and benefit from conflict prevention, crisis response, peacebuilding, and recovery.</w:t>
      </w:r>
      <w:r w:rsidRPr="00CF4800">
        <w:rPr>
          <w:color w:val="000000" w:themeColor="text1"/>
        </w:rPr>
        <w:t xml:space="preserve"> Since its launch in 2016, WPHF has been supporting over 200 civil society organizations and is present in 20 countries or group of countries.</w:t>
      </w:r>
    </w:p>
    <w:p w14:paraId="4E7A9F5B" w14:textId="77777777" w:rsidR="005F1644" w:rsidRPr="00CF4800" w:rsidRDefault="005F1644" w:rsidP="005F1644">
      <w:pPr>
        <w:pStyle w:val="ListParagraph"/>
        <w:spacing w:after="0" w:line="240" w:lineRule="auto"/>
        <w:jc w:val="both"/>
        <w:rPr>
          <w:rFonts w:ascii="Calibri" w:hAnsi="Calibri" w:cs="Calibri"/>
          <w:b/>
          <w:color w:val="000000" w:themeColor="text1"/>
        </w:rPr>
      </w:pPr>
    </w:p>
    <w:p w14:paraId="51403EFF" w14:textId="731CA844" w:rsidR="005F1644" w:rsidRPr="00CF4800" w:rsidRDefault="005F1644" w:rsidP="005F1644">
      <w:pPr>
        <w:spacing w:after="0" w:line="240" w:lineRule="auto"/>
        <w:jc w:val="both"/>
        <w:rPr>
          <w:rFonts w:ascii="Calibri" w:hAnsi="Calibri" w:cs="Calibri"/>
          <w:color w:val="000000" w:themeColor="text1"/>
        </w:rPr>
      </w:pPr>
      <w:r w:rsidRPr="00CF4800">
        <w:rPr>
          <w:rFonts w:ascii="Calibri" w:hAnsi="Calibri" w:cs="Calibri"/>
          <w:color w:val="000000" w:themeColor="text1"/>
        </w:rPr>
        <w:t xml:space="preserve">The WPHF is governed by a Funding Board at the global level, which is comprised of four UN entities (currently UN Women, UNDP, UNFPA and PBSO), four donor Member States (currently European Union (EU), Germany, </w:t>
      </w:r>
      <w:r w:rsidR="00F240B9" w:rsidRPr="00CF4800">
        <w:rPr>
          <w:rFonts w:ascii="Calibri" w:hAnsi="Calibri" w:cs="Calibri"/>
          <w:color w:val="000000" w:themeColor="text1"/>
        </w:rPr>
        <w:t>Canada,</w:t>
      </w:r>
      <w:r w:rsidRPr="00CF4800">
        <w:rPr>
          <w:rFonts w:ascii="Calibri" w:hAnsi="Calibri" w:cs="Calibri"/>
          <w:color w:val="000000" w:themeColor="text1"/>
        </w:rPr>
        <w:t xml:space="preserve"> and Austria), as well as 4 Civil Society Organizations (currently International Civil Society Action Network for women’s rights, </w:t>
      </w:r>
      <w:proofErr w:type="gramStart"/>
      <w:r w:rsidRPr="00CF4800">
        <w:rPr>
          <w:rFonts w:ascii="Calibri" w:hAnsi="Calibri" w:cs="Calibri"/>
          <w:color w:val="000000" w:themeColor="text1"/>
        </w:rPr>
        <w:t>peace</w:t>
      </w:r>
      <w:proofErr w:type="gramEnd"/>
      <w:r w:rsidRPr="00CF4800">
        <w:rPr>
          <w:rFonts w:ascii="Calibri" w:hAnsi="Calibri" w:cs="Calibri"/>
          <w:color w:val="000000" w:themeColor="text1"/>
        </w:rPr>
        <w:t xml:space="preserve"> and security (ICAN), Global Partnership for the Prevention of Armed Conflict (GPPAC), Action Aid and Women’s Refugee Commission.</w:t>
      </w:r>
    </w:p>
    <w:p w14:paraId="28BDADC8" w14:textId="77777777" w:rsidR="005F1644" w:rsidRPr="00CF4800" w:rsidRDefault="005F1644" w:rsidP="005F1644">
      <w:pPr>
        <w:spacing w:after="0" w:line="240" w:lineRule="auto"/>
        <w:jc w:val="both"/>
        <w:rPr>
          <w:rFonts w:ascii="Calibri" w:hAnsi="Calibri" w:cs="Calibri"/>
          <w:color w:val="000000" w:themeColor="text1"/>
        </w:rPr>
      </w:pPr>
    </w:p>
    <w:p w14:paraId="5FEE39AE" w14:textId="783E093F" w:rsidR="00473813" w:rsidRDefault="005F1644" w:rsidP="00BA6C90">
      <w:pPr>
        <w:spacing w:after="0" w:line="240" w:lineRule="auto"/>
        <w:jc w:val="both"/>
        <w:rPr>
          <w:rFonts w:ascii="Calibri" w:hAnsi="Calibri" w:cs="Calibri"/>
          <w:color w:val="000000" w:themeColor="text1"/>
        </w:rPr>
      </w:pPr>
      <w:r w:rsidRPr="00CF4800">
        <w:rPr>
          <w:rFonts w:ascii="Calibri" w:hAnsi="Calibri" w:cs="Calibri"/>
          <w:color w:val="000000" w:themeColor="text1"/>
        </w:rPr>
        <w:t>UN Women acts as the WPHF’s Technical Secretariat at the global level. UN Women also acts as Management Entity for civil society organizations where UN Women has a country presence.</w:t>
      </w:r>
    </w:p>
    <w:p w14:paraId="7EF5A5C0" w14:textId="30E4BE4C" w:rsidR="006D1319" w:rsidRDefault="006D1319" w:rsidP="00BA6C90">
      <w:pPr>
        <w:spacing w:after="0" w:line="240" w:lineRule="auto"/>
        <w:jc w:val="both"/>
        <w:rPr>
          <w:rFonts w:ascii="Calibri" w:hAnsi="Calibri" w:cs="Calibri"/>
          <w:color w:val="000000" w:themeColor="text1"/>
        </w:rPr>
      </w:pPr>
    </w:p>
    <w:p w14:paraId="526533B6" w14:textId="77777777" w:rsidR="006D1319" w:rsidRPr="00CF4800" w:rsidRDefault="006D1319" w:rsidP="00BA6C90">
      <w:pPr>
        <w:spacing w:after="0" w:line="240" w:lineRule="auto"/>
        <w:jc w:val="both"/>
        <w:rPr>
          <w:rFonts w:ascii="Calibri" w:hAnsi="Calibri" w:cs="Calibri"/>
          <w:color w:val="000000" w:themeColor="text1"/>
        </w:rPr>
      </w:pPr>
    </w:p>
    <w:p w14:paraId="3D45B81B" w14:textId="77777777" w:rsidR="00473813" w:rsidRPr="00CF4800" w:rsidRDefault="00473813" w:rsidP="00BA6C90">
      <w:pPr>
        <w:spacing w:after="0" w:line="240" w:lineRule="auto"/>
        <w:jc w:val="both"/>
        <w:rPr>
          <w:color w:val="000000" w:themeColor="text1"/>
        </w:rPr>
      </w:pPr>
    </w:p>
    <w:p w14:paraId="17EE72D0" w14:textId="77777777" w:rsidR="002B6396" w:rsidRPr="00CF4800" w:rsidRDefault="002B6396" w:rsidP="002B6396">
      <w:pPr>
        <w:pStyle w:val="ListParagraph"/>
        <w:numPr>
          <w:ilvl w:val="0"/>
          <w:numId w:val="1"/>
        </w:numPr>
        <w:spacing w:after="0" w:line="240" w:lineRule="auto"/>
        <w:ind w:left="360"/>
        <w:rPr>
          <w:b/>
          <w:color w:val="000000" w:themeColor="text1"/>
        </w:rPr>
      </w:pPr>
      <w:r w:rsidRPr="00CF4800">
        <w:rPr>
          <w:b/>
          <w:color w:val="000000" w:themeColor="text1"/>
        </w:rPr>
        <w:lastRenderedPageBreak/>
        <w:t>Nature and scope of the Call for Proposals</w:t>
      </w:r>
    </w:p>
    <w:p w14:paraId="24E0D68B" w14:textId="5EC6A905" w:rsidR="002B6396" w:rsidRPr="00CF4800" w:rsidRDefault="002B6396" w:rsidP="002B6396">
      <w:pPr>
        <w:spacing w:after="0" w:line="240" w:lineRule="auto"/>
        <w:jc w:val="both"/>
        <w:rPr>
          <w:b/>
          <w:color w:val="000000" w:themeColor="text1"/>
        </w:rPr>
      </w:pPr>
      <w:r w:rsidRPr="00CF4800">
        <w:rPr>
          <w:color w:val="000000" w:themeColor="text1"/>
        </w:rPr>
        <w:t>The WPHF</w:t>
      </w:r>
      <w:r w:rsidR="00260D29" w:rsidRPr="00CF4800">
        <w:rPr>
          <w:color w:val="000000" w:themeColor="text1"/>
        </w:rPr>
        <w:t xml:space="preserve"> </w:t>
      </w:r>
      <w:r w:rsidRPr="00CF4800">
        <w:rPr>
          <w:color w:val="000000" w:themeColor="text1"/>
        </w:rPr>
        <w:t>will fund qualifying projects in</w:t>
      </w:r>
      <w:r w:rsidR="00D00970" w:rsidRPr="00CF4800">
        <w:rPr>
          <w:color w:val="000000" w:themeColor="text1"/>
        </w:rPr>
        <w:t xml:space="preserve"> </w:t>
      </w:r>
      <w:r w:rsidR="00D00970" w:rsidRPr="00CF4800">
        <w:rPr>
          <w:rFonts w:eastAsia="Times New Roman"/>
          <w:color w:val="000000" w:themeColor="text1"/>
          <w:lang w:val="en-NZ"/>
        </w:rPr>
        <w:t>Fiji, Vanuatu, Solomon</w:t>
      </w:r>
      <w:r w:rsidR="004A4DED" w:rsidRPr="00CF4800">
        <w:rPr>
          <w:rFonts w:eastAsia="Times New Roman"/>
          <w:color w:val="000000" w:themeColor="text1"/>
          <w:lang w:val="en-NZ"/>
        </w:rPr>
        <w:t xml:space="preserve"> Islands</w:t>
      </w:r>
      <w:r w:rsidR="00B80E57" w:rsidRPr="00CF4800">
        <w:rPr>
          <w:rFonts w:eastAsia="Times New Roman"/>
          <w:color w:val="000000" w:themeColor="text1"/>
          <w:lang w:val="en-NZ"/>
        </w:rPr>
        <w:t xml:space="preserve">, </w:t>
      </w:r>
      <w:r w:rsidR="007C1729" w:rsidRPr="00CF4800">
        <w:rPr>
          <w:rFonts w:eastAsia="Times New Roman"/>
          <w:color w:val="000000" w:themeColor="text1"/>
          <w:lang w:val="en-NZ"/>
        </w:rPr>
        <w:t xml:space="preserve">and </w:t>
      </w:r>
      <w:r w:rsidR="00B80E57" w:rsidRPr="00CF4800">
        <w:rPr>
          <w:rFonts w:eastAsia="Times New Roman"/>
          <w:color w:val="000000" w:themeColor="text1"/>
          <w:lang w:val="en-NZ"/>
        </w:rPr>
        <w:t>Tonga</w:t>
      </w:r>
      <w:r w:rsidRPr="00CF4800">
        <w:rPr>
          <w:color w:val="000000" w:themeColor="text1"/>
        </w:rPr>
        <w:t xml:space="preserve">. The projects must focus on </w:t>
      </w:r>
      <w:r w:rsidRPr="00CF4800">
        <w:rPr>
          <w:b/>
          <w:color w:val="000000" w:themeColor="text1"/>
        </w:rPr>
        <w:t>one</w:t>
      </w:r>
      <w:r w:rsidRPr="00CF4800">
        <w:rPr>
          <w:color w:val="000000" w:themeColor="text1"/>
        </w:rPr>
        <w:t xml:space="preserve"> country. Multi-country projects will </w:t>
      </w:r>
      <w:r w:rsidRPr="00CF4800">
        <w:rPr>
          <w:b/>
          <w:color w:val="000000" w:themeColor="text1"/>
        </w:rPr>
        <w:t>NOT</w:t>
      </w:r>
      <w:r w:rsidRPr="00CF4800">
        <w:rPr>
          <w:color w:val="000000" w:themeColor="text1"/>
        </w:rPr>
        <w:t xml:space="preserve"> be accepted.</w:t>
      </w:r>
      <w:r w:rsidRPr="00CF4800">
        <w:rPr>
          <w:b/>
          <w:color w:val="000000" w:themeColor="text1"/>
        </w:rPr>
        <w:t xml:space="preserve"> </w:t>
      </w:r>
    </w:p>
    <w:p w14:paraId="5E0FF2C2" w14:textId="77777777" w:rsidR="002B6396" w:rsidRPr="00CF4800" w:rsidRDefault="002B6396" w:rsidP="002B6396">
      <w:pPr>
        <w:spacing w:after="0"/>
        <w:rPr>
          <w:b/>
          <w:color w:val="000000" w:themeColor="text1"/>
        </w:rPr>
      </w:pPr>
    </w:p>
    <w:p w14:paraId="1C9CD1C8" w14:textId="67DEFC04" w:rsidR="00902F8D" w:rsidRPr="00CF4800" w:rsidRDefault="00902F8D" w:rsidP="00691038">
      <w:pPr>
        <w:spacing w:after="0"/>
        <w:rPr>
          <w:color w:val="000000" w:themeColor="text1"/>
        </w:rPr>
      </w:pPr>
      <w:r w:rsidRPr="00CF4800">
        <w:rPr>
          <w:color w:val="000000" w:themeColor="text1"/>
        </w:rPr>
        <w:t xml:space="preserve">The Pacific is one of the most disaster-prone regions in the world. Small, vulnerable island states experience frequent and intense disasters, resulting in negative economic, social, and environmental consequences. Arguably the basis of these disasters, climate change has been acknowledged as the greatest threat to security and human development in the region. </w:t>
      </w:r>
      <w:r w:rsidRPr="00CF4800">
        <w:rPr>
          <w:rFonts w:ascii="Calibri" w:eastAsia="Calibri" w:hAnsi="Calibri" w:cs="Calibri"/>
          <w:color w:val="000000" w:themeColor="text1"/>
        </w:rPr>
        <w:t>Climate change in the Pacific region has the potential for a multitude of fragility and instability risks</w:t>
      </w:r>
      <w:r w:rsidR="00AC7CE4" w:rsidRPr="00CF4800">
        <w:rPr>
          <w:rFonts w:ascii="Calibri" w:eastAsia="Calibri" w:hAnsi="Calibri" w:cs="Calibri"/>
          <w:color w:val="000000" w:themeColor="text1"/>
        </w:rPr>
        <w:t>.</w:t>
      </w:r>
      <w:r w:rsidR="007779C7" w:rsidRPr="00CF4800">
        <w:rPr>
          <w:rStyle w:val="FootnoteReference"/>
          <w:rFonts w:ascii="Calibri" w:eastAsia="Calibri" w:hAnsi="Calibri" w:cs="Calibri"/>
          <w:color w:val="000000" w:themeColor="text1"/>
        </w:rPr>
        <w:footnoteReference w:id="1"/>
      </w:r>
      <w:r w:rsidRPr="00CF4800">
        <w:rPr>
          <w:rFonts w:ascii="Calibri" w:eastAsia="Calibri" w:hAnsi="Calibri" w:cs="Calibri"/>
          <w:color w:val="000000" w:themeColor="text1"/>
        </w:rPr>
        <w:t xml:space="preserve"> These will affect men, women, young people, and children differently and will serve to exacerbate existing vulnerabilities of people living in poverty, people facing food insecurity, women, people with chronic health conditions, people with disabilities and the elderly. It will also impact upon those most reliant on natural resources for their livelihoods and/or who have the least capacity to respond to natural hazards, such as droughts, landslides, floods, and hurricanes.</w:t>
      </w:r>
      <w:r w:rsidR="00B40070" w:rsidRPr="00CF4800">
        <w:rPr>
          <w:rFonts w:ascii="Calibri" w:eastAsia="Calibri" w:hAnsi="Calibri" w:cs="Calibri"/>
          <w:color w:val="000000" w:themeColor="text1"/>
        </w:rPr>
        <w:t xml:space="preserve"> </w:t>
      </w:r>
      <w:r w:rsidR="00B40070" w:rsidRPr="00CF4800">
        <w:rPr>
          <w:color w:val="000000" w:themeColor="text1"/>
        </w:rPr>
        <w:t>Gender equality is a major problem across the region</w:t>
      </w:r>
      <w:r w:rsidR="00691038" w:rsidRPr="00CF4800">
        <w:rPr>
          <w:color w:val="000000" w:themeColor="text1"/>
        </w:rPr>
        <w:t xml:space="preserve">. Women </w:t>
      </w:r>
      <w:r w:rsidRPr="00CF4800">
        <w:rPr>
          <w:color w:val="000000" w:themeColor="text1"/>
        </w:rPr>
        <w:t>and girls in the Pacific face persistent inequality relative to men, including in access to decision-making, high rates of sexual and gender-based violence, and limited economic opportunities, which makes them more vulnerable to the impacts of climate change.</w:t>
      </w:r>
      <w:r w:rsidR="00933D29" w:rsidRPr="00CF4800">
        <w:rPr>
          <w:rStyle w:val="FootnoteReference"/>
          <w:color w:val="000000" w:themeColor="text1"/>
        </w:rPr>
        <w:footnoteReference w:id="2"/>
      </w:r>
      <w:r w:rsidRPr="00CF4800">
        <w:rPr>
          <w:color w:val="000000" w:themeColor="text1"/>
        </w:rPr>
        <w:t xml:space="preserve"> As a result, women and girls across the region are disproportionally affected by climate change and natural disasters. They are systematically kept away from preparedness and response processes and given little autonomy in decision making processes. </w:t>
      </w:r>
      <w:r w:rsidR="0001651F" w:rsidRPr="00CF4800">
        <w:rPr>
          <w:color w:val="000000" w:themeColor="text1"/>
        </w:rPr>
        <w:t xml:space="preserve">The Pacific </w:t>
      </w:r>
      <w:r w:rsidRPr="00CF4800">
        <w:rPr>
          <w:color w:val="000000" w:themeColor="text1"/>
        </w:rPr>
        <w:t>retains some of the worst indicators in the world in terms of overall gender equality</w:t>
      </w:r>
      <w:r w:rsidR="0001651F" w:rsidRPr="00CF4800">
        <w:rPr>
          <w:color w:val="000000" w:themeColor="text1"/>
        </w:rPr>
        <w:t xml:space="preserve">, </w:t>
      </w:r>
      <w:r w:rsidRPr="00CF4800">
        <w:rPr>
          <w:color w:val="000000" w:themeColor="text1"/>
        </w:rPr>
        <w:t>with over three quarters of all women experiencing physical and sexual violence</w:t>
      </w:r>
      <w:r w:rsidR="0001651F" w:rsidRPr="00CF4800">
        <w:rPr>
          <w:color w:val="000000" w:themeColor="text1"/>
        </w:rPr>
        <w:t xml:space="preserve"> in the region</w:t>
      </w:r>
      <w:r w:rsidRPr="00CF4800">
        <w:rPr>
          <w:color w:val="000000" w:themeColor="text1"/>
        </w:rPr>
        <w:t>.</w:t>
      </w:r>
      <w:r w:rsidR="00243DFD" w:rsidRPr="00CF4800">
        <w:rPr>
          <w:rStyle w:val="FootnoteReference"/>
          <w:color w:val="000000" w:themeColor="text1"/>
        </w:rPr>
        <w:footnoteReference w:id="3"/>
      </w:r>
      <w:r w:rsidRPr="00CF4800">
        <w:rPr>
          <w:color w:val="000000" w:themeColor="text1"/>
        </w:rPr>
        <w:t xml:space="preserve"> Global evidence continues to indicate that women are generally disproportionally affected by disasters and have different and uneven levels of resilience and capacity to recover. Yet, women and girls are often first responders in crises and, when given the opportunity, have capacities to lead in disaster preparation, response, and resilience building.</w:t>
      </w:r>
    </w:p>
    <w:p w14:paraId="3562EE2B" w14:textId="77777777" w:rsidR="00902F8D" w:rsidRPr="00CF4800" w:rsidRDefault="00902F8D" w:rsidP="00902F8D">
      <w:pPr>
        <w:spacing w:after="0"/>
        <w:rPr>
          <w:b/>
          <w:bCs/>
          <w:color w:val="000000" w:themeColor="text1"/>
        </w:rPr>
      </w:pPr>
    </w:p>
    <w:p w14:paraId="2F57C7C1" w14:textId="66FA80D0" w:rsidR="00902F8D" w:rsidRPr="00CF4800" w:rsidRDefault="00902F8D" w:rsidP="000E5E59">
      <w:pPr>
        <w:spacing w:after="0"/>
        <w:rPr>
          <w:b/>
          <w:bCs/>
          <w:color w:val="000000" w:themeColor="text1"/>
        </w:rPr>
      </w:pPr>
      <w:r w:rsidRPr="00CF4800">
        <w:rPr>
          <w:b/>
          <w:bCs/>
          <w:color w:val="000000" w:themeColor="text1"/>
        </w:rPr>
        <w:t>Fiji</w:t>
      </w:r>
    </w:p>
    <w:p w14:paraId="3C566508" w14:textId="1C3709F1" w:rsidR="00902F8D" w:rsidRPr="00CF4800" w:rsidRDefault="00CF6325" w:rsidP="00902F8D">
      <w:pPr>
        <w:rPr>
          <w:color w:val="000000" w:themeColor="text1"/>
        </w:rPr>
      </w:pPr>
      <w:r w:rsidRPr="00CF4800">
        <w:rPr>
          <w:color w:val="000000" w:themeColor="text1"/>
        </w:rPr>
        <w:t>Fiji is ranked as the 12</w:t>
      </w:r>
      <w:r w:rsidRPr="00CF4800">
        <w:rPr>
          <w:color w:val="000000" w:themeColor="text1"/>
          <w:vertAlign w:val="superscript"/>
        </w:rPr>
        <w:t>th</w:t>
      </w:r>
      <w:r w:rsidRPr="00CF4800">
        <w:rPr>
          <w:color w:val="000000" w:themeColor="text1"/>
        </w:rPr>
        <w:t xml:space="preserve"> most hazardous country in the world by the World</w:t>
      </w:r>
      <w:r w:rsidR="005527F6" w:rsidRPr="00CF4800">
        <w:rPr>
          <w:color w:val="000000" w:themeColor="text1"/>
        </w:rPr>
        <w:t xml:space="preserve"> </w:t>
      </w:r>
      <w:r w:rsidRPr="00CF4800">
        <w:rPr>
          <w:color w:val="000000" w:themeColor="text1"/>
        </w:rPr>
        <w:t>Risk</w:t>
      </w:r>
      <w:r w:rsidR="005527F6" w:rsidRPr="00CF4800">
        <w:rPr>
          <w:color w:val="000000" w:themeColor="text1"/>
        </w:rPr>
        <w:t xml:space="preserve"> </w:t>
      </w:r>
      <w:r w:rsidRPr="00CF4800">
        <w:rPr>
          <w:color w:val="000000" w:themeColor="text1"/>
        </w:rPr>
        <w:t xml:space="preserve">Index </w:t>
      </w:r>
      <w:proofErr w:type="gramStart"/>
      <w:r w:rsidRPr="00CF4800">
        <w:rPr>
          <w:color w:val="000000" w:themeColor="text1"/>
        </w:rPr>
        <w:t>on the basis of</w:t>
      </w:r>
      <w:proofErr w:type="gramEnd"/>
      <w:r w:rsidRPr="00CF4800">
        <w:rPr>
          <w:color w:val="000000" w:themeColor="text1"/>
        </w:rPr>
        <w:t xml:space="preserve"> high exposure to natural hazards and relatively low coping capacity</w:t>
      </w:r>
      <w:r w:rsidR="00AC7CE4" w:rsidRPr="00CF4800">
        <w:rPr>
          <w:color w:val="000000" w:themeColor="text1"/>
        </w:rPr>
        <w:t>.</w:t>
      </w:r>
      <w:r w:rsidR="00807149" w:rsidRPr="00CF4800">
        <w:rPr>
          <w:rStyle w:val="FootnoteReference"/>
          <w:color w:val="000000" w:themeColor="text1"/>
        </w:rPr>
        <w:footnoteReference w:id="4"/>
      </w:r>
      <w:r w:rsidRPr="00CF4800">
        <w:rPr>
          <w:color w:val="000000" w:themeColor="text1"/>
        </w:rPr>
        <w:t xml:space="preserve"> </w:t>
      </w:r>
      <w:r w:rsidR="00902F8D" w:rsidRPr="00CF4800">
        <w:rPr>
          <w:color w:val="000000" w:themeColor="text1"/>
        </w:rPr>
        <w:t>Due to its geographical location, Fiji is vulnerable to</w:t>
      </w:r>
      <w:r w:rsidR="004A0BE5" w:rsidRPr="00CF4800">
        <w:rPr>
          <w:color w:val="000000" w:themeColor="text1"/>
        </w:rPr>
        <w:t xml:space="preserve"> a myriad of natural disasters including</w:t>
      </w:r>
      <w:r w:rsidR="00902F8D" w:rsidRPr="00CF4800">
        <w:rPr>
          <w:color w:val="000000" w:themeColor="text1"/>
        </w:rPr>
        <w:t xml:space="preserve"> floods, tsunamis, and tropical cyclones.</w:t>
      </w:r>
      <w:r w:rsidRPr="00CF4800">
        <w:rPr>
          <w:color w:val="000000" w:themeColor="text1"/>
        </w:rPr>
        <w:t xml:space="preserve"> </w:t>
      </w:r>
      <w:r w:rsidR="00035D86" w:rsidRPr="00CF4800">
        <w:rPr>
          <w:color w:val="000000" w:themeColor="text1"/>
        </w:rPr>
        <w:t xml:space="preserve">In the past experts have </w:t>
      </w:r>
      <w:r w:rsidRPr="00CF4800">
        <w:rPr>
          <w:color w:val="000000" w:themeColor="text1"/>
        </w:rPr>
        <w:t>estimated that countries in the Pacific experience on average one cyclone per year</w:t>
      </w:r>
      <w:r w:rsidR="005527F6" w:rsidRPr="00CF4800">
        <w:rPr>
          <w:color w:val="000000" w:themeColor="text1"/>
        </w:rPr>
        <w:t>.</w:t>
      </w:r>
      <w:r w:rsidRPr="00CF4800">
        <w:rPr>
          <w:color w:val="000000" w:themeColor="text1"/>
        </w:rPr>
        <w:t xml:space="preserve"> </w:t>
      </w:r>
      <w:r w:rsidR="005527F6" w:rsidRPr="00CF4800">
        <w:rPr>
          <w:color w:val="000000" w:themeColor="text1"/>
        </w:rPr>
        <w:t>H</w:t>
      </w:r>
      <w:r w:rsidRPr="00CF4800">
        <w:rPr>
          <w:color w:val="000000" w:themeColor="text1"/>
        </w:rPr>
        <w:t>owever, i</w:t>
      </w:r>
      <w:r w:rsidR="00902F8D" w:rsidRPr="00CF4800">
        <w:rPr>
          <w:color w:val="000000" w:themeColor="text1"/>
        </w:rPr>
        <w:t xml:space="preserve">n 2020/2021 alone, Fiji experienced 4 tropical cyclones with Cyclone Harold reaching category 4 (April 2020) and Cyclone Yasa reaching category 5 (December 2020). </w:t>
      </w:r>
      <w:r w:rsidRPr="00CF4800">
        <w:rPr>
          <w:color w:val="000000" w:themeColor="text1"/>
        </w:rPr>
        <w:t>Climate change is increasing both the frequency and intensity of these event</w:t>
      </w:r>
      <w:r w:rsidR="005527F6" w:rsidRPr="00CF4800">
        <w:rPr>
          <w:color w:val="000000" w:themeColor="text1"/>
        </w:rPr>
        <w:t>s</w:t>
      </w:r>
      <w:r w:rsidRPr="00CF4800">
        <w:rPr>
          <w:color w:val="000000" w:themeColor="text1"/>
        </w:rPr>
        <w:t xml:space="preserve"> and </w:t>
      </w:r>
      <w:r w:rsidR="00035D86" w:rsidRPr="00CF4800">
        <w:rPr>
          <w:color w:val="000000" w:themeColor="text1"/>
        </w:rPr>
        <w:t>with its population</w:t>
      </w:r>
      <w:r w:rsidR="005527F6" w:rsidRPr="00CF4800">
        <w:rPr>
          <w:color w:val="000000" w:themeColor="text1"/>
        </w:rPr>
        <w:t xml:space="preserve">, </w:t>
      </w:r>
      <w:r w:rsidR="00035D86" w:rsidRPr="00CF4800">
        <w:rPr>
          <w:color w:val="000000" w:themeColor="text1"/>
        </w:rPr>
        <w:t xml:space="preserve">key assets along the coast and its heavy reliance on climate sensitive sectors like tourism and agriculture, </w:t>
      </w:r>
      <w:r w:rsidR="00B40070" w:rsidRPr="00CF4800">
        <w:rPr>
          <w:color w:val="000000" w:themeColor="text1"/>
        </w:rPr>
        <w:t xml:space="preserve">the </w:t>
      </w:r>
      <w:r w:rsidR="00035D86" w:rsidRPr="00CF4800">
        <w:rPr>
          <w:color w:val="000000" w:themeColor="text1"/>
        </w:rPr>
        <w:t xml:space="preserve">impacts </w:t>
      </w:r>
      <w:r w:rsidR="002F2FBB" w:rsidRPr="00CF4800">
        <w:rPr>
          <w:color w:val="000000" w:themeColor="text1"/>
        </w:rPr>
        <w:t>on</w:t>
      </w:r>
      <w:r w:rsidR="00035D86" w:rsidRPr="00CF4800">
        <w:rPr>
          <w:color w:val="000000" w:themeColor="text1"/>
        </w:rPr>
        <w:t xml:space="preserve"> Fiji are high. </w:t>
      </w:r>
      <w:r w:rsidR="00902F8D" w:rsidRPr="00CF4800">
        <w:rPr>
          <w:rFonts w:ascii="Calibri" w:eastAsia="Calibri" w:hAnsi="Calibri" w:cs="Calibri"/>
          <w:color w:val="000000" w:themeColor="text1"/>
        </w:rPr>
        <w:t xml:space="preserve">The </w:t>
      </w:r>
      <w:r w:rsidR="00B40070" w:rsidRPr="00CF4800">
        <w:rPr>
          <w:rFonts w:ascii="Calibri" w:eastAsia="Calibri" w:hAnsi="Calibri" w:cs="Calibri"/>
          <w:color w:val="000000" w:themeColor="text1"/>
        </w:rPr>
        <w:t>fallout</w:t>
      </w:r>
      <w:r w:rsidR="00902F8D" w:rsidRPr="00CF4800">
        <w:rPr>
          <w:rFonts w:ascii="Calibri" w:eastAsia="Calibri" w:hAnsi="Calibri" w:cs="Calibri"/>
          <w:color w:val="000000" w:themeColor="text1"/>
        </w:rPr>
        <w:t xml:space="preserve"> of climate change and disasters experienced in Fiji have varying impacts on men, women, children, the elderly, and people with disabilities. </w:t>
      </w:r>
      <w:r w:rsidR="00902F8D" w:rsidRPr="00CF4800">
        <w:rPr>
          <w:color w:val="000000" w:themeColor="text1"/>
        </w:rPr>
        <w:t>Gender inequality remains a significant challenge in Fiji with traditional cultural norms limiting Fijian women’s participation in decision making</w:t>
      </w:r>
      <w:r w:rsidR="00691038" w:rsidRPr="00CF4800">
        <w:rPr>
          <w:color w:val="000000" w:themeColor="text1"/>
        </w:rPr>
        <w:t xml:space="preserve"> at the household, community</w:t>
      </w:r>
      <w:r w:rsidR="006932D6" w:rsidRPr="00CF4800">
        <w:rPr>
          <w:color w:val="000000" w:themeColor="text1"/>
        </w:rPr>
        <w:t>,</w:t>
      </w:r>
      <w:r w:rsidR="00691038" w:rsidRPr="00CF4800">
        <w:rPr>
          <w:color w:val="000000" w:themeColor="text1"/>
        </w:rPr>
        <w:t xml:space="preserve"> and national levels</w:t>
      </w:r>
      <w:r w:rsidR="00902F8D" w:rsidRPr="00CF4800">
        <w:rPr>
          <w:color w:val="000000" w:themeColor="text1"/>
        </w:rPr>
        <w:t xml:space="preserve">. </w:t>
      </w:r>
      <w:r w:rsidR="006932D6" w:rsidRPr="00CF4800">
        <w:rPr>
          <w:color w:val="000000" w:themeColor="text1"/>
        </w:rPr>
        <w:t xml:space="preserve">Moreover, </w:t>
      </w:r>
      <w:r w:rsidR="00902F8D" w:rsidRPr="00CF4800">
        <w:rPr>
          <w:color w:val="000000" w:themeColor="text1"/>
        </w:rPr>
        <w:t xml:space="preserve">Fiji has extremely high rates of violence against women and </w:t>
      </w:r>
      <w:r w:rsidR="00902F8D" w:rsidRPr="00CF4800">
        <w:rPr>
          <w:color w:val="000000" w:themeColor="text1"/>
        </w:rPr>
        <w:lastRenderedPageBreak/>
        <w:t xml:space="preserve">girls with </w:t>
      </w:r>
      <w:r w:rsidR="00243DFD" w:rsidRPr="00CF4800">
        <w:rPr>
          <w:color w:val="000000" w:themeColor="text1"/>
        </w:rPr>
        <w:t>72</w:t>
      </w:r>
      <w:r w:rsidR="00902F8D" w:rsidRPr="00CF4800">
        <w:rPr>
          <w:color w:val="000000" w:themeColor="text1"/>
        </w:rPr>
        <w:t>% of women who have ever been in an intimate relationship having experienced physical and/or sexual violence by a husband or intimate partner in their lifetime.</w:t>
      </w:r>
      <w:r w:rsidR="00243DFD" w:rsidRPr="00CF4800">
        <w:rPr>
          <w:rStyle w:val="FootnoteReference"/>
          <w:color w:val="000000" w:themeColor="text1"/>
        </w:rPr>
        <w:footnoteReference w:id="5"/>
      </w:r>
    </w:p>
    <w:p w14:paraId="04451770" w14:textId="77777777" w:rsidR="000E5E59" w:rsidRPr="00CF4800" w:rsidRDefault="00902F8D" w:rsidP="00B23DF8">
      <w:pPr>
        <w:spacing w:after="0"/>
        <w:rPr>
          <w:b/>
          <w:bCs/>
          <w:color w:val="000000" w:themeColor="text1"/>
        </w:rPr>
      </w:pPr>
      <w:r w:rsidRPr="00CF4800">
        <w:rPr>
          <w:b/>
          <w:bCs/>
          <w:color w:val="000000" w:themeColor="text1"/>
        </w:rPr>
        <w:t>Solomon Islands</w:t>
      </w:r>
    </w:p>
    <w:p w14:paraId="12FB33A1" w14:textId="69A0FADC" w:rsidR="00902F8D" w:rsidRPr="00CF4800" w:rsidRDefault="000E5E59" w:rsidP="00902F8D">
      <w:pPr>
        <w:rPr>
          <w:b/>
          <w:bCs/>
          <w:color w:val="000000" w:themeColor="text1"/>
        </w:rPr>
      </w:pPr>
      <w:r w:rsidRPr="00CF4800">
        <w:rPr>
          <w:color w:val="000000" w:themeColor="text1"/>
        </w:rPr>
        <w:t>T</w:t>
      </w:r>
      <w:r w:rsidR="00902F8D" w:rsidRPr="00CF4800">
        <w:rPr>
          <w:color w:val="000000" w:themeColor="text1"/>
        </w:rPr>
        <w:t xml:space="preserve">he Solomon Islands is </w:t>
      </w:r>
      <w:r w:rsidR="000E1778" w:rsidRPr="00CF4800">
        <w:rPr>
          <w:color w:val="000000" w:themeColor="text1"/>
        </w:rPr>
        <w:t>ranked as the fourth riskiest country in the world by the World</w:t>
      </w:r>
      <w:r w:rsidR="005527F6" w:rsidRPr="00CF4800">
        <w:rPr>
          <w:color w:val="000000" w:themeColor="text1"/>
        </w:rPr>
        <w:t xml:space="preserve"> </w:t>
      </w:r>
      <w:r w:rsidR="000E1778" w:rsidRPr="00CF4800">
        <w:rPr>
          <w:color w:val="000000" w:themeColor="text1"/>
        </w:rPr>
        <w:t>Risk</w:t>
      </w:r>
      <w:r w:rsidR="005527F6" w:rsidRPr="00CF4800">
        <w:rPr>
          <w:color w:val="000000" w:themeColor="text1"/>
        </w:rPr>
        <w:t xml:space="preserve"> </w:t>
      </w:r>
      <w:r w:rsidR="000E1778" w:rsidRPr="00CF4800">
        <w:rPr>
          <w:color w:val="000000" w:themeColor="text1"/>
        </w:rPr>
        <w:t>Index</w:t>
      </w:r>
      <w:r w:rsidR="00AC7CE4" w:rsidRPr="00CF4800">
        <w:rPr>
          <w:color w:val="000000" w:themeColor="text1"/>
        </w:rPr>
        <w:t>.</w:t>
      </w:r>
      <w:r w:rsidR="00243DFD" w:rsidRPr="00CF4800">
        <w:rPr>
          <w:rStyle w:val="FootnoteReference"/>
          <w:color w:val="000000" w:themeColor="text1"/>
        </w:rPr>
        <w:footnoteReference w:id="6"/>
      </w:r>
      <w:r w:rsidR="000E1778" w:rsidRPr="00CF4800">
        <w:rPr>
          <w:color w:val="000000" w:themeColor="text1"/>
        </w:rPr>
        <w:t xml:space="preserve"> Due</w:t>
      </w:r>
      <w:r w:rsidR="00902F8D" w:rsidRPr="00CF4800">
        <w:rPr>
          <w:color w:val="000000" w:themeColor="text1"/>
        </w:rPr>
        <w:t xml:space="preserve"> to the frequency and severity</w:t>
      </w:r>
      <w:r w:rsidR="000E1778" w:rsidRPr="00CF4800">
        <w:rPr>
          <w:color w:val="000000" w:themeColor="text1"/>
        </w:rPr>
        <w:t xml:space="preserve"> of tropical cyclones, heavy rain, flood and accompanying tsunamis and landslides</w:t>
      </w:r>
      <w:r w:rsidR="00902F8D" w:rsidRPr="00CF4800">
        <w:rPr>
          <w:color w:val="000000" w:themeColor="text1"/>
        </w:rPr>
        <w:t xml:space="preserve">, </w:t>
      </w:r>
      <w:r w:rsidR="00F73034" w:rsidRPr="00CF4800">
        <w:rPr>
          <w:color w:val="000000" w:themeColor="text1"/>
        </w:rPr>
        <w:t xml:space="preserve">the </w:t>
      </w:r>
      <w:r w:rsidR="00902F8D" w:rsidRPr="00CF4800">
        <w:rPr>
          <w:color w:val="000000" w:themeColor="text1"/>
        </w:rPr>
        <w:t>Solomon Islands face increasing risks as a result of climate change</w:t>
      </w:r>
      <w:r w:rsidR="000E1778" w:rsidRPr="00CF4800">
        <w:rPr>
          <w:color w:val="000000" w:themeColor="text1"/>
        </w:rPr>
        <w:t xml:space="preserve"> and environmental degradation</w:t>
      </w:r>
      <w:r w:rsidR="00902F8D" w:rsidRPr="00CF4800">
        <w:rPr>
          <w:color w:val="000000" w:themeColor="text1"/>
        </w:rPr>
        <w:t xml:space="preserve">. </w:t>
      </w:r>
      <w:r w:rsidR="00F73034" w:rsidRPr="00CF4800">
        <w:rPr>
          <w:color w:val="000000" w:themeColor="text1"/>
        </w:rPr>
        <w:t xml:space="preserve">The </w:t>
      </w:r>
      <w:r w:rsidR="00902F8D" w:rsidRPr="00CF4800">
        <w:rPr>
          <w:color w:val="000000" w:themeColor="text1"/>
        </w:rPr>
        <w:t>Solomon Islands</w:t>
      </w:r>
      <w:r w:rsidR="00F73034" w:rsidRPr="00CF4800">
        <w:rPr>
          <w:color w:val="000000" w:themeColor="text1"/>
        </w:rPr>
        <w:t>’</w:t>
      </w:r>
      <w:r w:rsidR="00902F8D" w:rsidRPr="00CF4800">
        <w:rPr>
          <w:color w:val="000000" w:themeColor="text1"/>
        </w:rPr>
        <w:t xml:space="preserve"> population of approximately 560,000 is spread over 347 inhabited islands, which poses significant coordination, logistic and communication challenges during emergencies caused by natural disasters. In 2020, Tropical Cyclone Harold made landfall in</w:t>
      </w:r>
      <w:r w:rsidR="00F73034" w:rsidRPr="00CF4800">
        <w:rPr>
          <w:color w:val="000000" w:themeColor="text1"/>
        </w:rPr>
        <w:t xml:space="preserve"> the</w:t>
      </w:r>
      <w:r w:rsidR="00902F8D" w:rsidRPr="00CF4800">
        <w:rPr>
          <w:color w:val="000000" w:themeColor="text1"/>
        </w:rPr>
        <w:t xml:space="preserve"> Solomon Islands, causing widespread flooding, killing 4 people with an estimated 80,000 people displaced.</w:t>
      </w:r>
      <w:r w:rsidR="00A4229F" w:rsidRPr="00CF4800">
        <w:rPr>
          <w:color w:val="000000" w:themeColor="text1"/>
        </w:rPr>
        <w:t xml:space="preserve"> The impacts of natural hazards and climate change disproportionately affect women in </w:t>
      </w:r>
      <w:r w:rsidR="00F73034" w:rsidRPr="00CF4800">
        <w:rPr>
          <w:color w:val="000000" w:themeColor="text1"/>
        </w:rPr>
        <w:t xml:space="preserve">the </w:t>
      </w:r>
      <w:r w:rsidR="00A4229F" w:rsidRPr="00CF4800">
        <w:rPr>
          <w:color w:val="000000" w:themeColor="text1"/>
        </w:rPr>
        <w:t xml:space="preserve">Solomon Islands. Women in </w:t>
      </w:r>
      <w:r w:rsidR="00F73034" w:rsidRPr="00CF4800">
        <w:rPr>
          <w:color w:val="000000" w:themeColor="text1"/>
        </w:rPr>
        <w:t xml:space="preserve">the </w:t>
      </w:r>
      <w:r w:rsidR="00A4229F" w:rsidRPr="00CF4800">
        <w:rPr>
          <w:color w:val="000000" w:themeColor="text1"/>
        </w:rPr>
        <w:t>Solomon Islands are often engaged in agriculture, and although their cash incomes are small, any disruption to agricultural activities is likely to have a disproportionate effect on women’s earning capacities. Additionally,</w:t>
      </w:r>
      <w:r w:rsidR="00902F8D" w:rsidRPr="00CF4800">
        <w:rPr>
          <w:color w:val="000000" w:themeColor="text1"/>
        </w:rPr>
        <w:t xml:space="preserve"> </w:t>
      </w:r>
      <w:r w:rsidR="00A4229F" w:rsidRPr="00CF4800">
        <w:rPr>
          <w:color w:val="000000" w:themeColor="text1"/>
        </w:rPr>
        <w:t>v</w:t>
      </w:r>
      <w:r w:rsidR="00902F8D" w:rsidRPr="00CF4800">
        <w:rPr>
          <w:color w:val="000000" w:themeColor="text1"/>
        </w:rPr>
        <w:t xml:space="preserve">iolence against women in </w:t>
      </w:r>
      <w:r w:rsidR="00F73034" w:rsidRPr="00CF4800">
        <w:rPr>
          <w:color w:val="000000" w:themeColor="text1"/>
        </w:rPr>
        <w:t xml:space="preserve">the </w:t>
      </w:r>
      <w:r w:rsidR="00902F8D" w:rsidRPr="00CF4800">
        <w:rPr>
          <w:color w:val="000000" w:themeColor="text1"/>
        </w:rPr>
        <w:t xml:space="preserve">Solomon Islands is pervasive and continues to prevent them from participating in society, </w:t>
      </w:r>
      <w:r w:rsidR="00F240B9" w:rsidRPr="00CF4800">
        <w:rPr>
          <w:color w:val="000000" w:themeColor="text1"/>
        </w:rPr>
        <w:t>business,</w:t>
      </w:r>
      <w:r w:rsidR="00902F8D" w:rsidRPr="00CF4800">
        <w:rPr>
          <w:color w:val="000000" w:themeColor="text1"/>
        </w:rPr>
        <w:t xml:space="preserve"> and politics. The SGBV rate in the Solomon Islands is high at 64%, further increasing women’s vulnerabilities</w:t>
      </w:r>
      <w:r w:rsidR="00AC7CE4" w:rsidRPr="00CF4800">
        <w:rPr>
          <w:color w:val="000000" w:themeColor="text1"/>
        </w:rPr>
        <w:t>.</w:t>
      </w:r>
      <w:r w:rsidR="00243DFD" w:rsidRPr="00CF4800">
        <w:rPr>
          <w:rStyle w:val="FootnoteReference"/>
          <w:color w:val="000000" w:themeColor="text1"/>
        </w:rPr>
        <w:footnoteReference w:id="7"/>
      </w:r>
      <w:r w:rsidR="00902F8D" w:rsidRPr="00CF4800">
        <w:rPr>
          <w:color w:val="000000" w:themeColor="text1"/>
        </w:rPr>
        <w:t xml:space="preserve"> </w:t>
      </w:r>
    </w:p>
    <w:p w14:paraId="1EEE8A6A" w14:textId="77777777" w:rsidR="000E5E59" w:rsidRPr="00CF4800" w:rsidRDefault="00902F8D" w:rsidP="00B23DF8">
      <w:pPr>
        <w:spacing w:after="0"/>
        <w:rPr>
          <w:b/>
          <w:bCs/>
          <w:color w:val="000000" w:themeColor="text1"/>
        </w:rPr>
      </w:pPr>
      <w:r w:rsidRPr="00CF4800">
        <w:rPr>
          <w:b/>
          <w:bCs/>
          <w:color w:val="000000" w:themeColor="text1"/>
        </w:rPr>
        <w:t xml:space="preserve">Vanuatu </w:t>
      </w:r>
    </w:p>
    <w:p w14:paraId="292DDAC1" w14:textId="0D6792B4" w:rsidR="00902F8D" w:rsidRDefault="00902F8D" w:rsidP="00902F8D">
      <w:pPr>
        <w:rPr>
          <w:color w:val="000000" w:themeColor="text1"/>
        </w:rPr>
      </w:pPr>
      <w:r w:rsidRPr="00CF4800">
        <w:rPr>
          <w:color w:val="000000" w:themeColor="text1"/>
        </w:rPr>
        <w:t>Vanuatu is progressively affected by the increasing temperatures, changed rainfall patterns, rising sea levels and subsequent cyclones brought about by climate change in the Pacific. These</w:t>
      </w:r>
      <w:r w:rsidR="00C149B9" w:rsidRPr="00CF4800">
        <w:rPr>
          <w:color w:val="000000" w:themeColor="text1"/>
        </w:rPr>
        <w:t xml:space="preserve"> natural</w:t>
      </w:r>
      <w:r w:rsidRPr="00CF4800">
        <w:rPr>
          <w:color w:val="000000" w:themeColor="text1"/>
        </w:rPr>
        <w:t xml:space="preserve"> hazards pose a significant risk to the health and livelihoods of all people in Vanuatu, where 80</w:t>
      </w:r>
      <w:r w:rsidR="00C149B9" w:rsidRPr="00CF4800">
        <w:rPr>
          <w:color w:val="000000" w:themeColor="text1"/>
        </w:rPr>
        <w:t>%</w:t>
      </w:r>
      <w:r w:rsidRPr="00CF4800">
        <w:rPr>
          <w:color w:val="000000" w:themeColor="text1"/>
        </w:rPr>
        <w:t xml:space="preserve"> percent of the population rely on the traditional economy and subsistence agriculture, many in remote and under-serviced locations</w:t>
      </w:r>
      <w:r w:rsidR="00AC7CE4" w:rsidRPr="00CF4800">
        <w:rPr>
          <w:color w:val="000000" w:themeColor="text1"/>
        </w:rPr>
        <w:t>.</w:t>
      </w:r>
      <w:r w:rsidR="00243DFD" w:rsidRPr="00CF4800">
        <w:rPr>
          <w:rStyle w:val="FootnoteReference"/>
          <w:color w:val="000000" w:themeColor="text1"/>
        </w:rPr>
        <w:footnoteReference w:id="8"/>
      </w:r>
      <w:r w:rsidRPr="00CF4800">
        <w:rPr>
          <w:color w:val="000000" w:themeColor="text1"/>
        </w:rPr>
        <w:t xml:space="preserve"> </w:t>
      </w:r>
      <w:r w:rsidR="00C17632" w:rsidRPr="00CF4800">
        <w:rPr>
          <w:color w:val="000000" w:themeColor="text1"/>
        </w:rPr>
        <w:t>In 2020 an estimated 65</w:t>
      </w:r>
      <w:r w:rsidR="00C149B9" w:rsidRPr="00CF4800">
        <w:rPr>
          <w:color w:val="000000" w:themeColor="text1"/>
        </w:rPr>
        <w:t>% o</w:t>
      </w:r>
      <w:r w:rsidR="00C17632" w:rsidRPr="00CF4800">
        <w:rPr>
          <w:color w:val="000000" w:themeColor="text1"/>
        </w:rPr>
        <w:t>f the total population of Vanuatu were affected by Tropical Cyclone Harold. The cyclone destroyed crops and cut many communities off from support due to flooding and destruction of roads, intensifying existing vulnerabilities such as food insecurity</w:t>
      </w:r>
      <w:r w:rsidR="00AC7CE4" w:rsidRPr="00CF4800">
        <w:rPr>
          <w:color w:val="000000" w:themeColor="text1"/>
        </w:rPr>
        <w:t>.</w:t>
      </w:r>
      <w:r w:rsidR="004F2534" w:rsidRPr="00CF4800">
        <w:rPr>
          <w:rStyle w:val="FootnoteReference"/>
          <w:color w:val="000000" w:themeColor="text1"/>
        </w:rPr>
        <w:footnoteReference w:id="9"/>
      </w:r>
      <w:r w:rsidR="00C17632" w:rsidRPr="00CF4800">
        <w:rPr>
          <w:color w:val="000000" w:themeColor="text1"/>
        </w:rPr>
        <w:t xml:space="preserve"> </w:t>
      </w:r>
      <w:r w:rsidRPr="00CF4800">
        <w:rPr>
          <w:color w:val="000000" w:themeColor="text1"/>
        </w:rPr>
        <w:t xml:space="preserve">Women and girls in Vanuatu, however, are disproportionally affected by climate change and natural disasters. Traditional social norms and practices in Vanuatu remain strong and Ni-Vanuatu women’s everyday lives remain deeply shaped by unequal gender norms that typically foreclose women’s capacity for decision-making. </w:t>
      </w:r>
      <w:r w:rsidR="004B5A8D" w:rsidRPr="00CF4800">
        <w:rPr>
          <w:color w:val="000000" w:themeColor="text1"/>
        </w:rPr>
        <w:t xml:space="preserve">Natural hazards disproportionately affect Ni- Vanuatu women’s livelihoods by damaging natural resources, such as pandanus tree, which women in Vanuatu </w:t>
      </w:r>
      <w:r w:rsidR="002E3834" w:rsidRPr="00CF4800">
        <w:rPr>
          <w:color w:val="000000" w:themeColor="text1"/>
        </w:rPr>
        <w:t>rely on for economic income</w:t>
      </w:r>
      <w:r w:rsidR="00AC7CE4" w:rsidRPr="00CF4800">
        <w:rPr>
          <w:color w:val="000000" w:themeColor="text1"/>
        </w:rPr>
        <w:t>.</w:t>
      </w:r>
      <w:r w:rsidR="002E3834" w:rsidRPr="00CF4800">
        <w:rPr>
          <w:color w:val="000000" w:themeColor="text1"/>
        </w:rPr>
        <w:t xml:space="preserve"> Women’s</w:t>
      </w:r>
      <w:r w:rsidR="004B5A8D" w:rsidRPr="00CF4800">
        <w:rPr>
          <w:color w:val="000000" w:themeColor="text1"/>
        </w:rPr>
        <w:t xml:space="preserve"> social roles </w:t>
      </w:r>
      <w:r w:rsidR="002E3834" w:rsidRPr="00CF4800">
        <w:rPr>
          <w:color w:val="000000" w:themeColor="text1"/>
        </w:rPr>
        <w:t>further</w:t>
      </w:r>
      <w:r w:rsidR="004B5A8D" w:rsidRPr="00CF4800">
        <w:rPr>
          <w:color w:val="000000" w:themeColor="text1"/>
        </w:rPr>
        <w:t xml:space="preserve"> inhibit them from pursuing alternative income-earning activities</w:t>
      </w:r>
      <w:r w:rsidR="002E3834" w:rsidRPr="00CF4800">
        <w:rPr>
          <w:color w:val="000000" w:themeColor="text1"/>
        </w:rPr>
        <w:t xml:space="preserve"> in Vanuatu</w:t>
      </w:r>
      <w:r w:rsidR="004B5A8D" w:rsidRPr="00CF4800">
        <w:rPr>
          <w:color w:val="000000" w:themeColor="text1"/>
        </w:rPr>
        <w:t>. Moreover, t</w:t>
      </w:r>
      <w:r w:rsidRPr="00CF4800">
        <w:rPr>
          <w:rFonts w:ascii="Calibri" w:eastAsia="Calibri" w:hAnsi="Calibri" w:cs="Calibri"/>
          <w:color w:val="000000" w:themeColor="text1"/>
        </w:rPr>
        <w:t xml:space="preserve">he Republic of Vanuatu is one of the few countries in the world without a single woman representative in parliament. </w:t>
      </w:r>
      <w:r w:rsidRPr="00CF4800">
        <w:rPr>
          <w:color w:val="000000" w:themeColor="text1"/>
        </w:rPr>
        <w:t>T</w:t>
      </w:r>
      <w:r w:rsidRPr="00CF4800">
        <w:rPr>
          <w:rFonts w:ascii="Calibri" w:eastAsia="Calibri" w:hAnsi="Calibri" w:cs="Calibri"/>
          <w:color w:val="000000" w:themeColor="text1"/>
        </w:rPr>
        <w:t xml:space="preserve">he prevalence rates for violence against women in Vanuatu are </w:t>
      </w:r>
      <w:r w:rsidR="00C17632" w:rsidRPr="00CF4800">
        <w:rPr>
          <w:rFonts w:ascii="Calibri" w:eastAsia="Calibri" w:hAnsi="Calibri" w:cs="Calibri"/>
          <w:color w:val="000000" w:themeColor="text1"/>
        </w:rPr>
        <w:t xml:space="preserve">also </w:t>
      </w:r>
      <w:r w:rsidRPr="00CF4800">
        <w:rPr>
          <w:rFonts w:ascii="Calibri" w:eastAsia="Calibri" w:hAnsi="Calibri" w:cs="Calibri"/>
          <w:color w:val="000000" w:themeColor="text1"/>
        </w:rPr>
        <w:t>one of the highest in the world with 72% of women aged 15 to 49 years experiencing some form of partner violence in their lifetime.</w:t>
      </w:r>
      <w:r w:rsidRPr="00CF4800">
        <w:rPr>
          <w:color w:val="000000" w:themeColor="text1"/>
        </w:rPr>
        <w:t xml:space="preserve"> </w:t>
      </w:r>
    </w:p>
    <w:p w14:paraId="5973AC27" w14:textId="77777777" w:rsidR="006D1319" w:rsidRPr="00CF4800" w:rsidRDefault="006D1319" w:rsidP="00902F8D">
      <w:pPr>
        <w:rPr>
          <w:b/>
          <w:bCs/>
          <w:color w:val="000000" w:themeColor="text1"/>
        </w:rPr>
      </w:pPr>
    </w:p>
    <w:p w14:paraId="64485513" w14:textId="77777777" w:rsidR="00902F8D" w:rsidRPr="00CF4800" w:rsidRDefault="00902F8D" w:rsidP="00B23DF8">
      <w:pPr>
        <w:spacing w:after="0"/>
        <w:rPr>
          <w:b/>
          <w:bCs/>
          <w:color w:val="000000" w:themeColor="text1"/>
        </w:rPr>
      </w:pPr>
      <w:r w:rsidRPr="00CF4800">
        <w:rPr>
          <w:b/>
          <w:bCs/>
          <w:color w:val="000000" w:themeColor="text1"/>
        </w:rPr>
        <w:lastRenderedPageBreak/>
        <w:t>Tonga</w:t>
      </w:r>
    </w:p>
    <w:p w14:paraId="2F1F79B1" w14:textId="7443EE57" w:rsidR="005C1DF7" w:rsidRPr="00CF4800" w:rsidRDefault="00902F8D" w:rsidP="00A07E2E">
      <w:pPr>
        <w:rPr>
          <w:color w:val="000000" w:themeColor="text1"/>
        </w:rPr>
      </w:pPr>
      <w:r w:rsidRPr="00CF4800">
        <w:rPr>
          <w:color w:val="000000" w:themeColor="text1"/>
        </w:rPr>
        <w:t xml:space="preserve">Climate change has significant effects in Tonga, increasing its vulnerability to a range of natural disasters, including cyclones, earthquakes, and volcanic activity.  </w:t>
      </w:r>
      <w:r w:rsidR="0055684B" w:rsidRPr="00CF4800">
        <w:rPr>
          <w:color w:val="000000" w:themeColor="text1"/>
        </w:rPr>
        <w:t>Ranked as the third most hazardous country in the world by the World</w:t>
      </w:r>
      <w:r w:rsidR="00F73034" w:rsidRPr="00CF4800">
        <w:rPr>
          <w:color w:val="000000" w:themeColor="text1"/>
        </w:rPr>
        <w:t xml:space="preserve"> </w:t>
      </w:r>
      <w:r w:rsidR="0055684B" w:rsidRPr="00CF4800">
        <w:rPr>
          <w:color w:val="000000" w:themeColor="text1"/>
        </w:rPr>
        <w:t>Risk</w:t>
      </w:r>
      <w:r w:rsidR="00F73034" w:rsidRPr="00CF4800">
        <w:rPr>
          <w:color w:val="000000" w:themeColor="text1"/>
        </w:rPr>
        <w:t xml:space="preserve"> </w:t>
      </w:r>
      <w:r w:rsidR="0055684B" w:rsidRPr="00CF4800">
        <w:rPr>
          <w:color w:val="000000" w:themeColor="text1"/>
        </w:rPr>
        <w:t>Index, Tonga is at great risk of climate related disasters</w:t>
      </w:r>
      <w:r w:rsidR="00AC7CE4" w:rsidRPr="00CF4800">
        <w:rPr>
          <w:color w:val="000000" w:themeColor="text1"/>
        </w:rPr>
        <w:t>.</w:t>
      </w:r>
      <w:r w:rsidR="004F2534" w:rsidRPr="00CF4800">
        <w:rPr>
          <w:rStyle w:val="FootnoteReference"/>
          <w:color w:val="000000" w:themeColor="text1"/>
        </w:rPr>
        <w:footnoteReference w:id="10"/>
      </w:r>
      <w:r w:rsidR="0055684B" w:rsidRPr="00CF4800">
        <w:rPr>
          <w:color w:val="000000" w:themeColor="text1"/>
        </w:rPr>
        <w:t xml:space="preserve"> </w:t>
      </w:r>
      <w:r w:rsidRPr="00CF4800">
        <w:rPr>
          <w:color w:val="000000" w:themeColor="text1"/>
        </w:rPr>
        <w:t xml:space="preserve">With a population of just over 100,000 people living in predominately low-lying coastal areas, Tonga is highly susceptible to the results of climate change. </w:t>
      </w:r>
      <w:r w:rsidR="0055684B" w:rsidRPr="00CF4800">
        <w:rPr>
          <w:color w:val="000000" w:themeColor="text1"/>
        </w:rPr>
        <w:t>In 2020, Tonga was affected by both Tropical Cyclone Harold and Tropical Cyclone Zazu with an estimated cost of the damage totaling $111 million</w:t>
      </w:r>
      <w:r w:rsidR="00AC7CE4" w:rsidRPr="00CF4800">
        <w:rPr>
          <w:color w:val="000000" w:themeColor="text1"/>
        </w:rPr>
        <w:t>.</w:t>
      </w:r>
      <w:r w:rsidR="004F2534" w:rsidRPr="00CF4800">
        <w:rPr>
          <w:rStyle w:val="FootnoteReference"/>
          <w:color w:val="000000" w:themeColor="text1"/>
        </w:rPr>
        <w:footnoteReference w:id="11"/>
      </w:r>
      <w:r w:rsidR="0055684B" w:rsidRPr="00CF4800">
        <w:rPr>
          <w:color w:val="000000" w:themeColor="text1"/>
        </w:rPr>
        <w:t xml:space="preserve"> </w:t>
      </w:r>
      <w:r w:rsidRPr="00CF4800">
        <w:rPr>
          <w:color w:val="000000" w:themeColor="text1"/>
        </w:rPr>
        <w:t xml:space="preserve">Women, girls, people with disabilities, the elderly, children, and other vulnerable groups in Tonga are disproportionately affected by </w:t>
      </w:r>
      <w:r w:rsidR="0055684B" w:rsidRPr="00CF4800">
        <w:rPr>
          <w:color w:val="000000" w:themeColor="text1"/>
        </w:rPr>
        <w:t xml:space="preserve">these </w:t>
      </w:r>
      <w:r w:rsidRPr="00CF4800">
        <w:rPr>
          <w:color w:val="000000" w:themeColor="text1"/>
        </w:rPr>
        <w:t>natural disasters as a result of existing vulnerabilities. Gender inequality is a significant problem in Tonga, with social roles heavily influenced by traditional values and gender stereotypes. Cultural norms allocate men decision-making roles in the public arena, with women being generally excluded from planning and decision-making processes.  Tonga is one of only six countries globally that has not ratified the Convention on the Elimination of All Forms of Discrimination Against Women.</w:t>
      </w:r>
      <w:r w:rsidR="004F2534" w:rsidRPr="00CF4800">
        <w:rPr>
          <w:rStyle w:val="FootnoteReference"/>
          <w:color w:val="000000" w:themeColor="text1"/>
        </w:rPr>
        <w:footnoteReference w:id="12"/>
      </w:r>
      <w:r w:rsidRPr="00CF4800">
        <w:rPr>
          <w:color w:val="000000" w:themeColor="text1"/>
        </w:rPr>
        <w:t xml:space="preserve"> Gender-based violence in Tonga is widespread and as global evidence suggests, it is likely to be exacerbated by these natural hazards. </w:t>
      </w:r>
    </w:p>
    <w:p w14:paraId="6733409C" w14:textId="660AFA02" w:rsidR="00711622" w:rsidRPr="00CF4800" w:rsidRDefault="00711622" w:rsidP="00711622">
      <w:pPr>
        <w:spacing w:after="0" w:line="240" w:lineRule="auto"/>
        <w:jc w:val="both"/>
        <w:rPr>
          <w:bCs/>
          <w:color w:val="000000" w:themeColor="text1"/>
        </w:rPr>
      </w:pPr>
      <w:r w:rsidRPr="00CF4800">
        <w:rPr>
          <w:bCs/>
          <w:color w:val="000000" w:themeColor="text1"/>
        </w:rPr>
        <w:t>The focus of this WPHF call for proposals will be on</w:t>
      </w:r>
      <w:r w:rsidR="00AA00E3" w:rsidRPr="00CF4800">
        <w:rPr>
          <w:bCs/>
          <w:color w:val="000000" w:themeColor="text1"/>
        </w:rPr>
        <w:t xml:space="preserve"> enhancing inclusive and gender responsive humanitarian/crisis planning, frameworks and programming.</w:t>
      </w:r>
      <w:r w:rsidRPr="00CF4800">
        <w:rPr>
          <w:bCs/>
          <w:color w:val="000000" w:themeColor="text1"/>
        </w:rPr>
        <w:t xml:space="preserve"> Special attention will be provided to applications supporting women and girls multiple and intersecting forms of discrimination, such as those marginalized and excluded due to poverty, ethnicity, disability, age, geography, migratory status, HIV status, among others, which is in clear alignment with the 2030 Agenda and the principle of leaving no one behind.</w:t>
      </w:r>
    </w:p>
    <w:p w14:paraId="4E260A66" w14:textId="2469C592" w:rsidR="003E06B2" w:rsidRPr="00CF4800" w:rsidRDefault="003E06B2" w:rsidP="00711622">
      <w:pPr>
        <w:spacing w:after="0" w:line="240" w:lineRule="auto"/>
        <w:jc w:val="both"/>
        <w:rPr>
          <w:bCs/>
          <w:color w:val="000000" w:themeColor="text1"/>
        </w:rPr>
      </w:pPr>
    </w:p>
    <w:p w14:paraId="08CD35B4" w14:textId="575D640A" w:rsidR="003E06B2" w:rsidRPr="006D1319" w:rsidRDefault="003E06B2" w:rsidP="006D1319">
      <w:pPr>
        <w:spacing w:after="0"/>
        <w:rPr>
          <w:color w:val="000000" w:themeColor="text1"/>
        </w:rPr>
      </w:pPr>
      <w:r w:rsidRPr="00CF4800">
        <w:rPr>
          <w:color w:val="000000" w:themeColor="text1"/>
        </w:rPr>
        <w:t>Please read through the</w:t>
      </w:r>
      <w:r w:rsidRPr="00CF4800">
        <w:rPr>
          <w:b/>
          <w:bCs/>
          <w:color w:val="000000" w:themeColor="text1"/>
        </w:rPr>
        <w:t xml:space="preserve"> </w:t>
      </w:r>
      <w:r w:rsidRPr="00CF4800">
        <w:rPr>
          <w:color w:val="000000" w:themeColor="text1"/>
        </w:rPr>
        <w:t xml:space="preserve">WPHF Tip Sheets for guidance on the result framework for </w:t>
      </w:r>
      <w:r w:rsidR="003D4AF8">
        <w:rPr>
          <w:color w:val="000000" w:themeColor="text1"/>
        </w:rPr>
        <w:t>WPHF i</w:t>
      </w:r>
      <w:r w:rsidRPr="00CF4800">
        <w:rPr>
          <w:color w:val="000000" w:themeColor="text1"/>
        </w:rPr>
        <w:t xml:space="preserve">mpact area 3 in </w:t>
      </w:r>
      <w:r w:rsidR="003D4AF8">
        <w:rPr>
          <w:color w:val="000000" w:themeColor="text1"/>
        </w:rPr>
        <w:t>s</w:t>
      </w:r>
      <w:r w:rsidRPr="00CF4800">
        <w:rPr>
          <w:color w:val="000000" w:themeColor="text1"/>
        </w:rPr>
        <w:t>ection 8 below.</w:t>
      </w:r>
    </w:p>
    <w:p w14:paraId="344297F5" w14:textId="77777777" w:rsidR="00711622" w:rsidRPr="00CF4800" w:rsidRDefault="00711622" w:rsidP="00711622">
      <w:pPr>
        <w:spacing w:after="0" w:line="240" w:lineRule="auto"/>
        <w:rPr>
          <w:color w:val="000000" w:themeColor="text1"/>
          <w:highlight w:val="green"/>
        </w:rPr>
      </w:pPr>
    </w:p>
    <w:p w14:paraId="6CD5AAC5" w14:textId="77777777" w:rsidR="002B0418" w:rsidRPr="00CF4800" w:rsidRDefault="002B0418" w:rsidP="002B0418">
      <w:pPr>
        <w:pStyle w:val="ListParagraph"/>
        <w:numPr>
          <w:ilvl w:val="0"/>
          <w:numId w:val="1"/>
        </w:numPr>
        <w:spacing w:after="0" w:line="240" w:lineRule="auto"/>
        <w:ind w:left="360"/>
        <w:rPr>
          <w:b/>
          <w:color w:val="000000" w:themeColor="text1"/>
        </w:rPr>
      </w:pPr>
      <w:r w:rsidRPr="00CF4800">
        <w:rPr>
          <w:b/>
          <w:color w:val="000000" w:themeColor="text1"/>
        </w:rPr>
        <w:t xml:space="preserve">Duration of Grants </w:t>
      </w:r>
    </w:p>
    <w:p w14:paraId="5C054A2A" w14:textId="7BC6F822" w:rsidR="002B0418" w:rsidRPr="00CF4800" w:rsidRDefault="002B0418" w:rsidP="00552679">
      <w:pPr>
        <w:spacing w:after="0" w:line="240" w:lineRule="auto"/>
        <w:rPr>
          <w:color w:val="000000" w:themeColor="text1"/>
        </w:rPr>
      </w:pPr>
      <w:r w:rsidRPr="00CF4800">
        <w:rPr>
          <w:color w:val="000000" w:themeColor="text1"/>
        </w:rPr>
        <w:t xml:space="preserve">All civil society organizations can apply for a maximum of 2-year grants. </w:t>
      </w:r>
    </w:p>
    <w:p w14:paraId="51FB1E2D" w14:textId="77777777" w:rsidR="002B0418" w:rsidRPr="00CF4800" w:rsidRDefault="002B0418" w:rsidP="002B0418">
      <w:pPr>
        <w:spacing w:after="0" w:line="240" w:lineRule="auto"/>
        <w:ind w:left="360"/>
        <w:rPr>
          <w:color w:val="000000" w:themeColor="text1"/>
        </w:rPr>
      </w:pPr>
    </w:p>
    <w:p w14:paraId="4832DE8D" w14:textId="25E2820A" w:rsidR="002B0418" w:rsidRPr="00CF4800" w:rsidRDefault="002B0418" w:rsidP="002B0418">
      <w:pPr>
        <w:pStyle w:val="ListParagraph"/>
        <w:numPr>
          <w:ilvl w:val="0"/>
          <w:numId w:val="1"/>
        </w:numPr>
        <w:spacing w:after="0" w:line="240" w:lineRule="auto"/>
        <w:ind w:left="360"/>
        <w:rPr>
          <w:b/>
          <w:bCs/>
          <w:color w:val="000000" w:themeColor="text1"/>
        </w:rPr>
      </w:pPr>
      <w:r w:rsidRPr="00CF4800">
        <w:rPr>
          <w:b/>
          <w:bCs/>
          <w:color w:val="000000" w:themeColor="text1"/>
        </w:rPr>
        <w:t>Location</w:t>
      </w:r>
    </w:p>
    <w:p w14:paraId="1047FE49" w14:textId="5FE4A015" w:rsidR="002B0418" w:rsidRPr="00CF4800" w:rsidRDefault="002B0418" w:rsidP="002B0418">
      <w:pPr>
        <w:spacing w:after="0"/>
        <w:rPr>
          <w:color w:val="000000" w:themeColor="text1"/>
        </w:rPr>
      </w:pPr>
      <w:r w:rsidRPr="006D1319">
        <w:rPr>
          <w:color w:val="000000" w:themeColor="text1"/>
        </w:rPr>
        <w:t>Projects should be implemented in the following location(s):</w:t>
      </w:r>
      <w:r w:rsidRPr="00CF4800">
        <w:rPr>
          <w:color w:val="000000" w:themeColor="text1"/>
        </w:rPr>
        <w:t xml:space="preserve"> </w:t>
      </w:r>
      <w:r w:rsidR="00831FD7" w:rsidRPr="00CF4800">
        <w:rPr>
          <w:color w:val="000000" w:themeColor="text1"/>
        </w:rPr>
        <w:t xml:space="preserve"> Fiji, Vanuatu, Solomon</w:t>
      </w:r>
      <w:r w:rsidR="004A4DED" w:rsidRPr="00CF4800">
        <w:rPr>
          <w:color w:val="000000" w:themeColor="text1"/>
        </w:rPr>
        <w:t xml:space="preserve"> Islands</w:t>
      </w:r>
      <w:r w:rsidR="00284994" w:rsidRPr="00CF4800">
        <w:rPr>
          <w:color w:val="000000" w:themeColor="text1"/>
        </w:rPr>
        <w:t xml:space="preserve">, </w:t>
      </w:r>
      <w:r w:rsidR="007C1729" w:rsidRPr="00CF4800">
        <w:rPr>
          <w:color w:val="000000" w:themeColor="text1"/>
        </w:rPr>
        <w:t xml:space="preserve">and </w:t>
      </w:r>
      <w:r w:rsidR="00284994" w:rsidRPr="00CF4800">
        <w:rPr>
          <w:color w:val="000000" w:themeColor="text1"/>
        </w:rPr>
        <w:t>Tonga</w:t>
      </w:r>
      <w:r w:rsidR="00831FD7" w:rsidRPr="00CF4800">
        <w:rPr>
          <w:color w:val="000000" w:themeColor="text1"/>
        </w:rPr>
        <w:t xml:space="preserve"> </w:t>
      </w:r>
    </w:p>
    <w:p w14:paraId="4EE41F0A" w14:textId="77777777" w:rsidR="002B0418" w:rsidRPr="00CF4800" w:rsidRDefault="002B0418" w:rsidP="002B0418">
      <w:pPr>
        <w:spacing w:after="0" w:line="240" w:lineRule="auto"/>
        <w:rPr>
          <w:b/>
          <w:bCs/>
          <w:color w:val="000000" w:themeColor="text1"/>
        </w:rPr>
      </w:pPr>
    </w:p>
    <w:p w14:paraId="1BCF1BC6" w14:textId="1A5BB7CD" w:rsidR="00E45D86" w:rsidRPr="00CF4800" w:rsidRDefault="006D1319" w:rsidP="002B0418">
      <w:pPr>
        <w:pStyle w:val="ListParagraph"/>
        <w:numPr>
          <w:ilvl w:val="0"/>
          <w:numId w:val="1"/>
        </w:numPr>
        <w:spacing w:after="0" w:line="240" w:lineRule="auto"/>
        <w:ind w:left="360"/>
        <w:rPr>
          <w:b/>
          <w:bCs/>
          <w:color w:val="000000" w:themeColor="text1"/>
        </w:rPr>
      </w:pPr>
      <w:r>
        <w:rPr>
          <w:b/>
          <w:bCs/>
          <w:color w:val="000000" w:themeColor="text1"/>
        </w:rPr>
        <w:t>Funding Stream and Amounts</w:t>
      </w:r>
    </w:p>
    <w:p w14:paraId="29132B68" w14:textId="1946596C" w:rsidR="003E06B2" w:rsidRPr="00CF4800" w:rsidRDefault="00E45D86" w:rsidP="00E45D86">
      <w:pPr>
        <w:spacing w:after="0"/>
        <w:rPr>
          <w:rFonts w:cstheme="minorHAnsi"/>
          <w:color w:val="000000" w:themeColor="text1"/>
        </w:rPr>
      </w:pPr>
      <w:r w:rsidRPr="00CF4800">
        <w:rPr>
          <w:color w:val="000000" w:themeColor="text1"/>
        </w:rPr>
        <w:t xml:space="preserve">The WPHF will grant around </w:t>
      </w:r>
      <w:r w:rsidR="00D30333" w:rsidRPr="00CF4800">
        <w:rPr>
          <w:color w:val="000000" w:themeColor="text1"/>
        </w:rPr>
        <w:t>400,000</w:t>
      </w:r>
      <w:r w:rsidR="00F240B9">
        <w:rPr>
          <w:color w:val="000000" w:themeColor="text1"/>
        </w:rPr>
        <w:t xml:space="preserve"> </w:t>
      </w:r>
      <w:r w:rsidRPr="00CF4800">
        <w:rPr>
          <w:color w:val="000000" w:themeColor="text1"/>
        </w:rPr>
        <w:t xml:space="preserve">USD over two years to </w:t>
      </w:r>
      <w:r w:rsidR="00831FD7" w:rsidRPr="00CF4800">
        <w:rPr>
          <w:color w:val="000000" w:themeColor="text1"/>
        </w:rPr>
        <w:t>Fiji, Vanuatu, Solomon</w:t>
      </w:r>
      <w:r w:rsidR="004A4DED" w:rsidRPr="00CF4800">
        <w:rPr>
          <w:color w:val="000000" w:themeColor="text1"/>
        </w:rPr>
        <w:t xml:space="preserve"> Islands</w:t>
      </w:r>
      <w:r w:rsidR="00284994" w:rsidRPr="00CF4800">
        <w:rPr>
          <w:color w:val="000000" w:themeColor="text1"/>
        </w:rPr>
        <w:t>,</w:t>
      </w:r>
      <w:r w:rsidR="007C1729" w:rsidRPr="00CF4800">
        <w:rPr>
          <w:color w:val="000000" w:themeColor="text1"/>
        </w:rPr>
        <w:t xml:space="preserve"> and</w:t>
      </w:r>
      <w:r w:rsidR="00284994" w:rsidRPr="00CF4800">
        <w:rPr>
          <w:color w:val="000000" w:themeColor="text1"/>
        </w:rPr>
        <w:t xml:space="preserve"> Tonga</w:t>
      </w:r>
      <w:r w:rsidR="003E06B2" w:rsidRPr="00CF4800">
        <w:rPr>
          <w:color w:val="000000" w:themeColor="text1"/>
        </w:rPr>
        <w:t>.</w:t>
      </w:r>
      <w:bookmarkStart w:id="0" w:name="_Hlk75360047"/>
      <w:r w:rsidR="008E50F0">
        <w:rPr>
          <w:color w:val="000000" w:themeColor="text1"/>
        </w:rPr>
        <w:t xml:space="preserve"> </w:t>
      </w:r>
      <w:r w:rsidR="003E06B2" w:rsidRPr="00CF4800">
        <w:rPr>
          <w:bCs/>
          <w:color w:val="000000" w:themeColor="text1"/>
        </w:rPr>
        <w:t>The</w:t>
      </w:r>
      <w:r w:rsidR="003E06B2" w:rsidRPr="00CF4800">
        <w:rPr>
          <w:rFonts w:cstheme="minorHAnsi"/>
          <w:bCs/>
          <w:color w:val="000000" w:themeColor="text1"/>
        </w:rPr>
        <w:t xml:space="preserve"> </w:t>
      </w:r>
      <w:r w:rsidR="003E06B2" w:rsidRPr="00CF4800">
        <w:rPr>
          <w:rFonts w:cstheme="minorHAnsi"/>
          <w:color w:val="000000" w:themeColor="text1"/>
        </w:rPr>
        <w:t xml:space="preserve">Call for </w:t>
      </w:r>
      <w:r w:rsidR="00CF4800">
        <w:rPr>
          <w:rFonts w:cstheme="minorHAnsi"/>
          <w:color w:val="000000" w:themeColor="text1"/>
        </w:rPr>
        <w:t>P</w:t>
      </w:r>
      <w:r w:rsidR="003E06B2" w:rsidRPr="00CF4800">
        <w:rPr>
          <w:rFonts w:cstheme="minorHAnsi"/>
          <w:color w:val="000000" w:themeColor="text1"/>
        </w:rPr>
        <w:t>roposals aims at responding to the needs of local women’s organizations in fragile settings, with the following funding stream:</w:t>
      </w:r>
    </w:p>
    <w:p w14:paraId="354B323F" w14:textId="180B14D6" w:rsidR="003E06B2" w:rsidRPr="00CF4800" w:rsidRDefault="003E06B2" w:rsidP="00E45D86">
      <w:pPr>
        <w:spacing w:after="0"/>
        <w:rPr>
          <w:rFonts w:cstheme="minorHAnsi"/>
          <w:color w:val="000000" w:themeColor="text1"/>
        </w:rPr>
      </w:pPr>
    </w:p>
    <w:p w14:paraId="11736F79" w14:textId="4D3A916B" w:rsidR="003E06B2" w:rsidRPr="008E50F0" w:rsidRDefault="003E06B2" w:rsidP="008E50F0">
      <w:pPr>
        <w:spacing w:after="0"/>
        <w:rPr>
          <w:color w:val="000000" w:themeColor="text1"/>
        </w:rPr>
      </w:pPr>
      <w:r w:rsidRPr="008E50F0">
        <w:rPr>
          <w:b/>
          <w:bCs/>
          <w:color w:val="000000" w:themeColor="text1"/>
        </w:rPr>
        <w:t>Programmatic funding: from 80,000 USD to 150,000 USD</w:t>
      </w:r>
    </w:p>
    <w:p w14:paraId="03B6C066" w14:textId="64190883" w:rsidR="003E06B2" w:rsidRPr="00CF4800" w:rsidRDefault="003E06B2" w:rsidP="003E06B2">
      <w:pPr>
        <w:spacing w:after="0"/>
        <w:rPr>
          <w:color w:val="000000" w:themeColor="text1"/>
        </w:rPr>
      </w:pPr>
      <w:r w:rsidRPr="006D1319">
        <w:rPr>
          <w:color w:val="000000" w:themeColor="text1"/>
        </w:rPr>
        <w:t xml:space="preserve">This funding stream will finance projects which aim specifically to fund programmatic activities </w:t>
      </w:r>
      <w:r w:rsidRPr="00CF4800">
        <w:rPr>
          <w:color w:val="000000" w:themeColor="text1"/>
        </w:rPr>
        <w:t xml:space="preserve">by civil society organizations that contribute to </w:t>
      </w:r>
      <w:r w:rsidRPr="009A7D8D">
        <w:rPr>
          <w:color w:val="000000" w:themeColor="text1"/>
        </w:rPr>
        <w:t>enhanc</w:t>
      </w:r>
      <w:r w:rsidRPr="00CF4800">
        <w:rPr>
          <w:color w:val="000000" w:themeColor="text1"/>
        </w:rPr>
        <w:t>ing</w:t>
      </w:r>
      <w:r w:rsidRPr="009A7D8D">
        <w:rPr>
          <w:color w:val="000000" w:themeColor="text1"/>
        </w:rPr>
        <w:t xml:space="preserve"> inclusive and gender responsive humanitarian/crisis planning, frameworks, and programming</w:t>
      </w:r>
      <w:r w:rsidRPr="00CF4800">
        <w:rPr>
          <w:b/>
          <w:bCs/>
          <w:color w:val="000000" w:themeColor="text1"/>
        </w:rPr>
        <w:t xml:space="preserve"> </w:t>
      </w:r>
      <w:r w:rsidRPr="00CF4800">
        <w:rPr>
          <w:color w:val="000000" w:themeColor="text1"/>
        </w:rPr>
        <w:t>(aligned with WPHF impact area 3)</w:t>
      </w:r>
    </w:p>
    <w:p w14:paraId="7C2B082A" w14:textId="1DE6A435" w:rsidR="003E06B2" w:rsidRPr="006D1319" w:rsidRDefault="003E06B2" w:rsidP="00E45D86">
      <w:pPr>
        <w:spacing w:after="0"/>
        <w:rPr>
          <w:b/>
          <w:bCs/>
          <w:color w:val="000000" w:themeColor="text1"/>
          <w:u w:val="single"/>
        </w:rPr>
      </w:pPr>
      <w:r w:rsidRPr="006D1319">
        <w:rPr>
          <w:b/>
          <w:bCs/>
          <w:color w:val="000000" w:themeColor="text1"/>
          <w:u w:val="single"/>
        </w:rPr>
        <w:lastRenderedPageBreak/>
        <w:t>An organization can only apply one time.</w:t>
      </w:r>
    </w:p>
    <w:bookmarkEnd w:id="0"/>
    <w:p w14:paraId="593A0E45" w14:textId="77777777" w:rsidR="0099066B" w:rsidRPr="00CF4800" w:rsidRDefault="0099066B" w:rsidP="000B7AA6">
      <w:pPr>
        <w:spacing w:after="0"/>
        <w:rPr>
          <w:color w:val="000000" w:themeColor="text1"/>
        </w:rPr>
      </w:pPr>
    </w:p>
    <w:p w14:paraId="5162CE24" w14:textId="77777777" w:rsidR="004057AB" w:rsidRPr="00CF4800" w:rsidRDefault="004057AB" w:rsidP="004057AB">
      <w:pPr>
        <w:pStyle w:val="ListParagraph"/>
        <w:numPr>
          <w:ilvl w:val="0"/>
          <w:numId w:val="1"/>
        </w:numPr>
        <w:spacing w:after="0" w:line="240" w:lineRule="auto"/>
        <w:ind w:left="360"/>
        <w:rPr>
          <w:b/>
          <w:color w:val="000000" w:themeColor="text1"/>
        </w:rPr>
      </w:pPr>
      <w:r w:rsidRPr="00CF4800">
        <w:rPr>
          <w:b/>
          <w:color w:val="000000" w:themeColor="text1"/>
        </w:rPr>
        <w:t>Eligibility, Application, and Selection Process</w:t>
      </w:r>
    </w:p>
    <w:p w14:paraId="568B190A" w14:textId="77777777" w:rsidR="004057AB" w:rsidRPr="00CF4800" w:rsidRDefault="004057AB" w:rsidP="004057AB">
      <w:pPr>
        <w:spacing w:after="0" w:line="240" w:lineRule="auto"/>
        <w:ind w:firstLine="360"/>
        <w:rPr>
          <w:b/>
          <w:color w:val="000000" w:themeColor="text1"/>
        </w:rPr>
      </w:pPr>
    </w:p>
    <w:p w14:paraId="2BBAB175" w14:textId="7ED705B1" w:rsidR="003E06B2" w:rsidRPr="00CF4800" w:rsidRDefault="005527F6" w:rsidP="003E06B2">
      <w:pPr>
        <w:spacing w:after="0" w:line="240" w:lineRule="auto"/>
        <w:rPr>
          <w:b/>
          <w:color w:val="000000" w:themeColor="text1"/>
        </w:rPr>
      </w:pPr>
      <w:r w:rsidRPr="00CF4800">
        <w:rPr>
          <w:b/>
          <w:color w:val="000000" w:themeColor="text1"/>
        </w:rPr>
        <w:t>6</w:t>
      </w:r>
      <w:r w:rsidR="004057AB" w:rsidRPr="00CF4800">
        <w:rPr>
          <w:b/>
          <w:color w:val="000000" w:themeColor="text1"/>
        </w:rPr>
        <w:t>.1. Who is eligible to apply and receive funding?</w:t>
      </w:r>
    </w:p>
    <w:p w14:paraId="3436A395" w14:textId="77777777" w:rsidR="003E06B2" w:rsidRPr="00CF4800" w:rsidRDefault="003E06B2" w:rsidP="003E06B2">
      <w:pPr>
        <w:spacing w:after="0" w:line="240" w:lineRule="auto"/>
        <w:jc w:val="both"/>
        <w:rPr>
          <w:color w:val="000000" w:themeColor="text1"/>
        </w:rPr>
      </w:pPr>
      <w:r w:rsidRPr="00CF4800">
        <w:rPr>
          <w:color w:val="000000" w:themeColor="text1"/>
        </w:rPr>
        <w:t>International</w:t>
      </w:r>
      <w:r w:rsidRPr="00CF4800">
        <w:rPr>
          <w:rStyle w:val="FootnoteReference"/>
          <w:color w:val="000000" w:themeColor="text1"/>
        </w:rPr>
        <w:footnoteReference w:id="13"/>
      </w:r>
      <w:r w:rsidRPr="00CF4800">
        <w:rPr>
          <w:color w:val="000000" w:themeColor="text1"/>
        </w:rPr>
        <w:t xml:space="preserve">, national and local women- led, women’s rights, feminist, or civil society organizations with a proven track record working with women and girls, are eligible to apply. Grassroots and local community-based organizations are particularly encouraged to apply. Joint projects are allowed and encouraged. </w:t>
      </w:r>
    </w:p>
    <w:p w14:paraId="2F2E48F2" w14:textId="77777777" w:rsidR="003E06B2" w:rsidRPr="00CF4800" w:rsidRDefault="003E06B2" w:rsidP="003E06B2">
      <w:pPr>
        <w:spacing w:after="0" w:line="240" w:lineRule="auto"/>
        <w:jc w:val="both"/>
        <w:rPr>
          <w:color w:val="000000" w:themeColor="text1"/>
        </w:rPr>
      </w:pPr>
    </w:p>
    <w:p w14:paraId="1DB14023" w14:textId="4BEF73D5" w:rsidR="003E06B2" w:rsidRPr="00CF4800" w:rsidRDefault="003E06B2" w:rsidP="003E06B2">
      <w:pPr>
        <w:spacing w:after="0" w:line="240" w:lineRule="auto"/>
        <w:jc w:val="both"/>
        <w:rPr>
          <w:color w:val="000000" w:themeColor="text1"/>
        </w:rPr>
      </w:pPr>
      <w:r w:rsidRPr="00CF4800">
        <w:rPr>
          <w:color w:val="000000" w:themeColor="text1"/>
        </w:rPr>
        <w:t xml:space="preserve">To be considered a “Women’s Rights or Feminist Organization,” the organization’s official mission/vision statement must reflect its commitment to addressing multiple/intersecting forms of discrimination and advancing gender equality and women’s rights. The organization must aim to address the underlying drivers/systems/structures, including patriarchy and gendered power dynamics, and work to transform these. </w:t>
      </w:r>
    </w:p>
    <w:p w14:paraId="33F6387C" w14:textId="77777777" w:rsidR="003E06B2" w:rsidRPr="00CF4800" w:rsidRDefault="003E06B2" w:rsidP="003E06B2">
      <w:pPr>
        <w:spacing w:after="0" w:line="240" w:lineRule="auto"/>
        <w:jc w:val="both"/>
        <w:rPr>
          <w:color w:val="000000" w:themeColor="text1"/>
        </w:rPr>
      </w:pPr>
    </w:p>
    <w:p w14:paraId="07E1C89D" w14:textId="77777777" w:rsidR="003E06B2" w:rsidRPr="00CF4800" w:rsidRDefault="003E06B2" w:rsidP="003E06B2">
      <w:pPr>
        <w:spacing w:after="0" w:line="240" w:lineRule="auto"/>
        <w:jc w:val="both"/>
        <w:rPr>
          <w:color w:val="000000" w:themeColor="text1"/>
        </w:rPr>
      </w:pPr>
      <w:r w:rsidRPr="00CF4800">
        <w:rPr>
          <w:color w:val="000000" w:themeColor="text1"/>
        </w:rPr>
        <w:t>“Women-led organization” must be headed by a woman as director/head of organization.</w:t>
      </w:r>
    </w:p>
    <w:p w14:paraId="7BD9E129" w14:textId="77777777" w:rsidR="003E06B2" w:rsidRPr="00CF4800" w:rsidRDefault="003E06B2" w:rsidP="003E06B2">
      <w:pPr>
        <w:spacing w:after="0" w:line="240" w:lineRule="auto"/>
        <w:ind w:left="360"/>
        <w:jc w:val="both"/>
        <w:rPr>
          <w:color w:val="000000" w:themeColor="text1"/>
        </w:rPr>
      </w:pPr>
    </w:p>
    <w:p w14:paraId="709FCF96" w14:textId="77777777" w:rsidR="003E06B2" w:rsidRPr="00CF4800" w:rsidRDefault="003E06B2" w:rsidP="003E06B2">
      <w:pPr>
        <w:spacing w:after="0" w:line="240" w:lineRule="auto"/>
        <w:jc w:val="both"/>
        <w:rPr>
          <w:color w:val="000000" w:themeColor="text1"/>
        </w:rPr>
      </w:pPr>
      <w:r w:rsidRPr="00CF4800">
        <w:rPr>
          <w:color w:val="000000" w:themeColor="text1"/>
        </w:rPr>
        <w:t xml:space="preserve">To be considered “Youth rights”, the organization’s official mission/vision must reflect its commitment to addressing multiple/intersecting forms of discrimination and advancing the rights of youth. </w:t>
      </w:r>
    </w:p>
    <w:p w14:paraId="3DEBAAB3" w14:textId="77777777" w:rsidR="003E06B2" w:rsidRPr="00CF4800" w:rsidRDefault="003E06B2" w:rsidP="003E06B2">
      <w:pPr>
        <w:spacing w:after="0" w:line="240" w:lineRule="auto"/>
        <w:jc w:val="both"/>
        <w:rPr>
          <w:color w:val="000000" w:themeColor="text1"/>
        </w:rPr>
      </w:pPr>
    </w:p>
    <w:p w14:paraId="15005C96" w14:textId="77777777" w:rsidR="003E06B2" w:rsidRPr="00CF4800" w:rsidRDefault="003E06B2" w:rsidP="003E06B2">
      <w:pPr>
        <w:spacing w:after="0" w:line="240" w:lineRule="auto"/>
        <w:jc w:val="both"/>
        <w:rPr>
          <w:color w:val="000000" w:themeColor="text1"/>
        </w:rPr>
      </w:pPr>
      <w:r w:rsidRPr="00CF4800">
        <w:rPr>
          <w:color w:val="000000" w:themeColor="text1"/>
        </w:rPr>
        <w:t>“Youth-led organization” must be headed by a youth as defined by the country/organization</w:t>
      </w:r>
    </w:p>
    <w:p w14:paraId="49ECABE0" w14:textId="77777777" w:rsidR="003E06B2" w:rsidRPr="00CF4800" w:rsidRDefault="003E06B2" w:rsidP="003E06B2">
      <w:pPr>
        <w:spacing w:after="0" w:line="240" w:lineRule="auto"/>
        <w:ind w:left="360"/>
        <w:jc w:val="both"/>
        <w:rPr>
          <w:color w:val="000000" w:themeColor="text1"/>
        </w:rPr>
      </w:pPr>
    </w:p>
    <w:p w14:paraId="178A91DC" w14:textId="77777777" w:rsidR="003E06B2" w:rsidRPr="00CF4800" w:rsidRDefault="003E06B2" w:rsidP="003E06B2">
      <w:pPr>
        <w:spacing w:after="0" w:line="240" w:lineRule="auto"/>
        <w:jc w:val="both"/>
        <w:rPr>
          <w:color w:val="000000" w:themeColor="text1"/>
        </w:rPr>
      </w:pPr>
      <w:r w:rsidRPr="00CF4800">
        <w:rPr>
          <w:color w:val="000000" w:themeColor="text1"/>
        </w:rPr>
        <w:t xml:space="preserve">Other CSOs must demonstrate experience in addressing violence against women and girls, gender inequalities and/or women’s rights. </w:t>
      </w:r>
    </w:p>
    <w:p w14:paraId="3A0A6476" w14:textId="77777777" w:rsidR="003E06B2" w:rsidRPr="00CF4800" w:rsidRDefault="003E06B2" w:rsidP="003E06B2">
      <w:pPr>
        <w:spacing w:after="0" w:line="240" w:lineRule="auto"/>
        <w:rPr>
          <w:color w:val="000000" w:themeColor="text1"/>
        </w:rPr>
      </w:pPr>
    </w:p>
    <w:p w14:paraId="3BBCDDE8" w14:textId="77777777" w:rsidR="003E06B2" w:rsidRPr="00CF4800" w:rsidRDefault="003E06B2" w:rsidP="003E06B2">
      <w:pPr>
        <w:pStyle w:val="CommentText"/>
        <w:spacing w:after="0"/>
        <w:rPr>
          <w:color w:val="000000" w:themeColor="text1"/>
          <w:sz w:val="22"/>
          <w:szCs w:val="22"/>
        </w:rPr>
      </w:pPr>
      <w:r w:rsidRPr="00CF4800">
        <w:rPr>
          <w:color w:val="000000" w:themeColor="text1"/>
          <w:sz w:val="22"/>
          <w:szCs w:val="22"/>
        </w:rPr>
        <w:t>The following are NOT eligible to apply for a grant from the WPHF:</w:t>
      </w:r>
    </w:p>
    <w:p w14:paraId="5799DB5B" w14:textId="6F8AA97E"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 xml:space="preserve">Organizations proposing a multi-country </w:t>
      </w:r>
      <w:r w:rsidR="00BE112A" w:rsidRPr="00CF4800">
        <w:rPr>
          <w:color w:val="000000" w:themeColor="text1"/>
          <w:sz w:val="22"/>
          <w:szCs w:val="22"/>
        </w:rPr>
        <w:t>intervention.</w:t>
      </w:r>
    </w:p>
    <w:p w14:paraId="4481163D" w14:textId="77777777"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Organizations proposing an intervention in a country different from the eligible country;</w:t>
      </w:r>
    </w:p>
    <w:p w14:paraId="273EF662" w14:textId="77777777"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Lead-organizations that are not legally registered in the country/territory of implementation;</w:t>
      </w:r>
    </w:p>
    <w:p w14:paraId="357EC75F" w14:textId="77777777"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Government agencies or institutions;</w:t>
      </w:r>
    </w:p>
    <w:p w14:paraId="5BB36313" w14:textId="77777777"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UN agencies or UN Country Teams;</w:t>
      </w:r>
    </w:p>
    <w:p w14:paraId="0BECA865" w14:textId="77777777"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Private individuals;</w:t>
      </w:r>
    </w:p>
    <w:p w14:paraId="1104F207" w14:textId="77777777" w:rsidR="003E06B2" w:rsidRPr="00CF4800" w:rsidRDefault="003E06B2" w:rsidP="003E06B2">
      <w:pPr>
        <w:pStyle w:val="CommentText"/>
        <w:numPr>
          <w:ilvl w:val="0"/>
          <w:numId w:val="24"/>
        </w:numPr>
        <w:spacing w:after="0"/>
        <w:ind w:left="540"/>
        <w:rPr>
          <w:color w:val="000000" w:themeColor="text1"/>
          <w:sz w:val="22"/>
          <w:szCs w:val="22"/>
        </w:rPr>
      </w:pPr>
      <w:r w:rsidRPr="00CF4800">
        <w:rPr>
          <w:color w:val="000000" w:themeColor="text1"/>
          <w:sz w:val="22"/>
          <w:szCs w:val="22"/>
        </w:rPr>
        <w:t>Private sector entities;</w:t>
      </w:r>
    </w:p>
    <w:p w14:paraId="05C5A707" w14:textId="77777777" w:rsidR="003E06B2" w:rsidRPr="00CF4800" w:rsidRDefault="003E06B2" w:rsidP="003E06B2">
      <w:pPr>
        <w:pStyle w:val="CommentText"/>
        <w:numPr>
          <w:ilvl w:val="0"/>
          <w:numId w:val="24"/>
        </w:numPr>
        <w:spacing w:after="0"/>
        <w:ind w:left="540"/>
        <w:rPr>
          <w:color w:val="000000" w:themeColor="text1"/>
        </w:rPr>
      </w:pPr>
      <w:r w:rsidRPr="00CF4800">
        <w:rPr>
          <w:color w:val="000000" w:themeColor="text1"/>
          <w:sz w:val="22"/>
          <w:szCs w:val="22"/>
        </w:rPr>
        <w:t>Universities and Education institutions</w:t>
      </w:r>
    </w:p>
    <w:p w14:paraId="035A399D" w14:textId="77777777" w:rsidR="004057AB" w:rsidRPr="00CF4800" w:rsidRDefault="004057AB" w:rsidP="004057AB">
      <w:pPr>
        <w:spacing w:after="0" w:line="240" w:lineRule="auto"/>
        <w:rPr>
          <w:color w:val="000000" w:themeColor="text1"/>
        </w:rPr>
      </w:pPr>
    </w:p>
    <w:p w14:paraId="3EACF9D7" w14:textId="77777777" w:rsidR="003E06B2" w:rsidRPr="00CF4800" w:rsidRDefault="005527F6" w:rsidP="008E50F0">
      <w:pPr>
        <w:spacing w:after="0" w:line="240" w:lineRule="auto"/>
        <w:rPr>
          <w:color w:val="000000" w:themeColor="text1"/>
        </w:rPr>
      </w:pPr>
      <w:r w:rsidRPr="00CF4800">
        <w:rPr>
          <w:b/>
          <w:color w:val="000000" w:themeColor="text1"/>
        </w:rPr>
        <w:t>6</w:t>
      </w:r>
      <w:r w:rsidR="004057AB" w:rsidRPr="00CF4800">
        <w:rPr>
          <w:b/>
          <w:color w:val="000000" w:themeColor="text1"/>
        </w:rPr>
        <w:t xml:space="preserve">.2. Do I need to be a legally registered entity/organization to apply? </w:t>
      </w:r>
      <w:r w:rsidR="004057AB" w:rsidRPr="00CF4800">
        <w:rPr>
          <w:b/>
          <w:color w:val="000000" w:themeColor="text1"/>
        </w:rPr>
        <w:br/>
      </w:r>
      <w:r w:rsidR="003E06B2" w:rsidRPr="00CF4800">
        <w:rPr>
          <w:color w:val="000000" w:themeColor="text1"/>
        </w:rPr>
        <w:t>The lead applicant organization must have legal status with the competent national authority in the eligible country of project implementation. Women’s funds that are not registered in the country of implementation may apply in partnership with a locally registered implementing partner as the lead applicant.</w:t>
      </w:r>
    </w:p>
    <w:p w14:paraId="0CF98872" w14:textId="77777777" w:rsidR="003E06B2" w:rsidRPr="003E06B2" w:rsidRDefault="003E06B2" w:rsidP="008E50F0">
      <w:pPr>
        <w:spacing w:after="0" w:line="240" w:lineRule="auto"/>
        <w:rPr>
          <w:color w:val="000000" w:themeColor="text1"/>
        </w:rPr>
      </w:pPr>
    </w:p>
    <w:p w14:paraId="5BF440FF" w14:textId="77777777" w:rsidR="003E06B2" w:rsidRPr="003E06B2" w:rsidRDefault="003E06B2" w:rsidP="008E50F0">
      <w:pPr>
        <w:spacing w:after="0" w:line="240" w:lineRule="auto"/>
        <w:rPr>
          <w:color w:val="000000" w:themeColor="text1"/>
        </w:rPr>
      </w:pPr>
      <w:r w:rsidRPr="003E06B2">
        <w:rPr>
          <w:color w:val="000000" w:themeColor="text1"/>
        </w:rPr>
        <w:t xml:space="preserve">A proof of legal registration (or legal status) is a required attachment for any grant application. Applications without clear proof of legal status will be considered incomplete and will be withdrawn from the application process. Note that articles of incorporation are not proof of legal status. </w:t>
      </w:r>
    </w:p>
    <w:p w14:paraId="446E70B2" w14:textId="77777777" w:rsidR="003E06B2" w:rsidRPr="003E06B2" w:rsidRDefault="003E06B2" w:rsidP="008E50F0">
      <w:pPr>
        <w:spacing w:after="0" w:line="240" w:lineRule="auto"/>
        <w:rPr>
          <w:color w:val="000000" w:themeColor="text1"/>
        </w:rPr>
      </w:pPr>
    </w:p>
    <w:p w14:paraId="33B160C8" w14:textId="01CCDADC" w:rsidR="004057AB" w:rsidRPr="00CF4800" w:rsidRDefault="003E06B2" w:rsidP="008E50F0">
      <w:pPr>
        <w:spacing w:after="0" w:line="240" w:lineRule="auto"/>
        <w:rPr>
          <w:color w:val="000000" w:themeColor="text1"/>
        </w:rPr>
      </w:pPr>
      <w:r w:rsidRPr="003E06B2">
        <w:rPr>
          <w:color w:val="000000" w:themeColor="text1"/>
        </w:rPr>
        <w:t xml:space="preserve">Only the lead partner has to provide their legal registration. Implementing partners that are part of a joint proposal, do not have to be legally registered but have to be civil society organizations (non-profit and non-governmental).  </w:t>
      </w:r>
      <w:r w:rsidR="004057AB" w:rsidRPr="00CF4800">
        <w:rPr>
          <w:color w:val="000000" w:themeColor="text1"/>
        </w:rPr>
        <w:t xml:space="preserve">  </w:t>
      </w:r>
    </w:p>
    <w:p w14:paraId="36DAA84E" w14:textId="77777777" w:rsidR="004057AB" w:rsidRPr="00CF4800" w:rsidRDefault="004057AB" w:rsidP="004057AB">
      <w:pPr>
        <w:spacing w:after="0" w:line="240" w:lineRule="auto"/>
        <w:ind w:left="360"/>
        <w:rPr>
          <w:color w:val="000000" w:themeColor="text1"/>
          <w:highlight w:val="green"/>
        </w:rPr>
      </w:pPr>
    </w:p>
    <w:p w14:paraId="7D779565" w14:textId="2F03B3F6" w:rsidR="004057AB" w:rsidRPr="00CF4800" w:rsidRDefault="005527F6" w:rsidP="008E50F0">
      <w:pPr>
        <w:spacing w:after="0" w:line="240" w:lineRule="auto"/>
        <w:ind w:left="180" w:hanging="180"/>
        <w:rPr>
          <w:b/>
          <w:color w:val="000000" w:themeColor="text1"/>
        </w:rPr>
      </w:pPr>
      <w:r w:rsidRPr="00CF4800">
        <w:rPr>
          <w:b/>
          <w:color w:val="000000" w:themeColor="text1"/>
        </w:rPr>
        <w:t>6</w:t>
      </w:r>
      <w:r w:rsidR="004057AB" w:rsidRPr="00CF4800">
        <w:rPr>
          <w:b/>
          <w:color w:val="000000" w:themeColor="text1"/>
        </w:rPr>
        <w:t>.3. Can my project cover several countries?</w:t>
      </w:r>
    </w:p>
    <w:p w14:paraId="106DF1C1" w14:textId="77777777" w:rsidR="003E06B2" w:rsidRPr="00CF4800" w:rsidRDefault="003E06B2" w:rsidP="008E50F0">
      <w:pPr>
        <w:spacing w:after="0" w:line="240" w:lineRule="auto"/>
        <w:ind w:left="180" w:hanging="180"/>
        <w:rPr>
          <w:bCs/>
          <w:color w:val="000000" w:themeColor="text1"/>
        </w:rPr>
      </w:pPr>
      <w:r w:rsidRPr="00CF4800">
        <w:rPr>
          <w:bCs/>
          <w:color w:val="000000" w:themeColor="text1"/>
        </w:rPr>
        <w:t xml:space="preserve">No, projects can only be implemented in one single country. Multi-country proposals are not eligible. </w:t>
      </w:r>
    </w:p>
    <w:p w14:paraId="16085495" w14:textId="77777777" w:rsidR="004057AB" w:rsidRPr="00CF4800" w:rsidRDefault="004057AB" w:rsidP="009A73DE">
      <w:pPr>
        <w:spacing w:after="0" w:line="240" w:lineRule="auto"/>
        <w:ind w:left="180"/>
        <w:rPr>
          <w:b/>
          <w:color w:val="000000" w:themeColor="text1"/>
          <w:highlight w:val="green"/>
        </w:rPr>
      </w:pPr>
    </w:p>
    <w:p w14:paraId="58A19724" w14:textId="5E2D3BFB" w:rsidR="004057AB" w:rsidRPr="00CF4800" w:rsidRDefault="005527F6" w:rsidP="008E50F0">
      <w:pPr>
        <w:spacing w:after="0" w:line="240" w:lineRule="auto"/>
        <w:rPr>
          <w:color w:val="000000" w:themeColor="text1"/>
        </w:rPr>
      </w:pPr>
      <w:r w:rsidRPr="00CF4800">
        <w:rPr>
          <w:b/>
          <w:color w:val="000000" w:themeColor="text1"/>
        </w:rPr>
        <w:t>6</w:t>
      </w:r>
      <w:r w:rsidR="004057AB" w:rsidRPr="00CF4800">
        <w:rPr>
          <w:b/>
          <w:color w:val="000000" w:themeColor="text1"/>
        </w:rPr>
        <w:t>.4. May I submit more than one application?</w:t>
      </w:r>
      <w:r w:rsidR="004057AB" w:rsidRPr="00CF4800">
        <w:rPr>
          <w:b/>
          <w:color w:val="000000" w:themeColor="text1"/>
        </w:rPr>
        <w:br/>
      </w:r>
      <w:r w:rsidR="003E06B2" w:rsidRPr="00CF4800">
        <w:rPr>
          <w:color w:val="000000" w:themeColor="text1"/>
        </w:rPr>
        <w:t>No, organizations may not submit more than one application</w:t>
      </w:r>
      <w:r w:rsidR="008E50F0">
        <w:rPr>
          <w:color w:val="000000" w:themeColor="text1"/>
        </w:rPr>
        <w:t xml:space="preserve">, </w:t>
      </w:r>
      <w:r w:rsidR="003E06B2" w:rsidRPr="00CF4800">
        <w:rPr>
          <w:color w:val="000000" w:themeColor="text1"/>
        </w:rPr>
        <w:t>either as a lead or as a partner. If an organization or partner appears in more than one application, all applications will be disqualified.</w:t>
      </w:r>
    </w:p>
    <w:p w14:paraId="4A303710" w14:textId="77777777" w:rsidR="004057AB" w:rsidRPr="00CF4800" w:rsidRDefault="004057AB" w:rsidP="008E50F0">
      <w:pPr>
        <w:spacing w:after="0" w:line="240" w:lineRule="auto"/>
        <w:rPr>
          <w:b/>
          <w:color w:val="000000" w:themeColor="text1"/>
          <w:highlight w:val="green"/>
        </w:rPr>
      </w:pPr>
    </w:p>
    <w:p w14:paraId="384B4F9E" w14:textId="77777777" w:rsidR="003E06B2" w:rsidRPr="00CF4800" w:rsidRDefault="005527F6" w:rsidP="008E50F0">
      <w:pPr>
        <w:spacing w:after="0" w:line="240" w:lineRule="auto"/>
        <w:rPr>
          <w:color w:val="000000" w:themeColor="text1"/>
        </w:rPr>
      </w:pPr>
      <w:r w:rsidRPr="00CF4800">
        <w:rPr>
          <w:b/>
          <w:color w:val="000000" w:themeColor="text1"/>
        </w:rPr>
        <w:t>6</w:t>
      </w:r>
      <w:r w:rsidR="004057AB" w:rsidRPr="00CF4800">
        <w:rPr>
          <w:b/>
          <w:color w:val="000000" w:themeColor="text1"/>
        </w:rPr>
        <w:t>.5. Can more organizations apply jointly?</w:t>
      </w:r>
      <w:r w:rsidR="004057AB" w:rsidRPr="00CF4800">
        <w:rPr>
          <w:color w:val="000000" w:themeColor="text1"/>
        </w:rPr>
        <w:br/>
      </w:r>
      <w:r w:rsidR="003E06B2" w:rsidRPr="00CF4800">
        <w:rPr>
          <w:color w:val="000000" w:themeColor="text1"/>
        </w:rPr>
        <w:t xml:space="preserve">Yes, joint projects are encouraged. For joint projects, only the lead organization is required to meet the eligibility criteria. </w:t>
      </w:r>
    </w:p>
    <w:p w14:paraId="3C3A30DF" w14:textId="77777777" w:rsidR="003E06B2" w:rsidRPr="00CF4800" w:rsidRDefault="003E06B2" w:rsidP="008E50F0">
      <w:pPr>
        <w:spacing w:after="0" w:line="240" w:lineRule="auto"/>
        <w:rPr>
          <w:color w:val="000000" w:themeColor="text1"/>
          <w:highlight w:val="green"/>
        </w:rPr>
      </w:pPr>
    </w:p>
    <w:p w14:paraId="1F71B800" w14:textId="77777777" w:rsidR="003E06B2" w:rsidRPr="00CF4800" w:rsidRDefault="003E06B2" w:rsidP="008E50F0">
      <w:pPr>
        <w:spacing w:after="0" w:line="240" w:lineRule="auto"/>
        <w:rPr>
          <w:color w:val="000000" w:themeColor="text1"/>
        </w:rPr>
      </w:pPr>
      <w:r w:rsidRPr="00CF4800">
        <w:rPr>
          <w:color w:val="000000" w:themeColor="text1"/>
        </w:rPr>
        <w:t>For joint projects, t</w:t>
      </w:r>
      <w:r w:rsidRPr="00CF4800" w:rsidDel="001762A5">
        <w:rPr>
          <w:color w:val="000000" w:themeColor="text1"/>
        </w:rPr>
        <w:t>he roles and responsibilities of each organization must be clearly detailed within the application</w:t>
      </w:r>
      <w:r w:rsidRPr="00CF4800">
        <w:rPr>
          <w:color w:val="000000" w:themeColor="text1"/>
        </w:rPr>
        <w:t xml:space="preserve"> in the appropriate section in the proposal template</w:t>
      </w:r>
      <w:r w:rsidRPr="00CF4800" w:rsidDel="001762A5">
        <w:rPr>
          <w:color w:val="000000" w:themeColor="text1"/>
        </w:rPr>
        <w:t xml:space="preserve">. Proposals must clearly indicate which organization will take lead responsibility for project management and contractual obligations. </w:t>
      </w:r>
    </w:p>
    <w:p w14:paraId="594E4717" w14:textId="68AC9B6F" w:rsidR="004057AB" w:rsidRPr="00CF4800" w:rsidRDefault="004057AB" w:rsidP="008E50F0">
      <w:pPr>
        <w:spacing w:after="0" w:line="240" w:lineRule="auto"/>
        <w:rPr>
          <w:color w:val="000000" w:themeColor="text1"/>
          <w:highlight w:val="green"/>
        </w:rPr>
      </w:pPr>
    </w:p>
    <w:p w14:paraId="2B0A322C" w14:textId="7DCC2746" w:rsidR="004057AB" w:rsidRPr="00CF4800" w:rsidRDefault="005527F6" w:rsidP="008E50F0">
      <w:pPr>
        <w:spacing w:after="0" w:line="240" w:lineRule="auto"/>
        <w:rPr>
          <w:b/>
          <w:color w:val="000000" w:themeColor="text1"/>
        </w:rPr>
      </w:pPr>
      <w:r w:rsidRPr="00CF4800">
        <w:rPr>
          <w:b/>
          <w:color w:val="000000" w:themeColor="text1"/>
        </w:rPr>
        <w:t>6</w:t>
      </w:r>
      <w:r w:rsidR="004057AB" w:rsidRPr="00CF4800">
        <w:rPr>
          <w:b/>
          <w:color w:val="000000" w:themeColor="text1"/>
        </w:rPr>
        <w:t>.6. May I apply for funding for an ongoing initiative or project?</w:t>
      </w:r>
    </w:p>
    <w:p w14:paraId="4ADF3F90" w14:textId="77777777" w:rsidR="00F372A8" w:rsidRPr="00CF4800" w:rsidRDefault="00F372A8" w:rsidP="008E50F0">
      <w:pPr>
        <w:spacing w:after="0" w:line="240" w:lineRule="auto"/>
        <w:jc w:val="both"/>
        <w:rPr>
          <w:color w:val="000000" w:themeColor="text1"/>
        </w:rPr>
      </w:pPr>
      <w:r w:rsidRPr="00CF4800">
        <w:rPr>
          <w:color w:val="000000" w:themeColor="text1"/>
        </w:rPr>
        <w:t>Yes, the WPHF accepts proposals for ongoing projects. However, the specific value added of the contribution should be clearly outlined.</w:t>
      </w:r>
    </w:p>
    <w:p w14:paraId="6F3395C5" w14:textId="77777777" w:rsidR="004057AB" w:rsidRPr="00CF4800" w:rsidRDefault="004057AB" w:rsidP="009A73DE">
      <w:pPr>
        <w:spacing w:after="0" w:line="240" w:lineRule="auto"/>
        <w:ind w:left="180"/>
        <w:rPr>
          <w:b/>
          <w:color w:val="000000" w:themeColor="text1"/>
          <w:highlight w:val="green"/>
        </w:rPr>
      </w:pPr>
    </w:p>
    <w:p w14:paraId="29058893" w14:textId="1C0BA5F0" w:rsidR="004057AB" w:rsidRPr="00CF4800" w:rsidRDefault="005527F6" w:rsidP="008E50F0">
      <w:pPr>
        <w:spacing w:after="0" w:line="240" w:lineRule="auto"/>
        <w:ind w:left="180" w:hanging="180"/>
        <w:rPr>
          <w:b/>
          <w:color w:val="000000" w:themeColor="text1"/>
        </w:rPr>
      </w:pPr>
      <w:r w:rsidRPr="00CF4800">
        <w:rPr>
          <w:b/>
          <w:color w:val="000000" w:themeColor="text1"/>
        </w:rPr>
        <w:t>6</w:t>
      </w:r>
      <w:r w:rsidR="004057AB" w:rsidRPr="00CF4800">
        <w:rPr>
          <w:b/>
          <w:color w:val="000000" w:themeColor="text1"/>
        </w:rPr>
        <w:t>.7. What are the requirements for project design?</w:t>
      </w:r>
    </w:p>
    <w:p w14:paraId="5455395B" w14:textId="380D46D4" w:rsidR="004057AB" w:rsidRPr="00CF4800" w:rsidRDefault="004057AB" w:rsidP="008E50F0">
      <w:pPr>
        <w:pStyle w:val="ListParagraph"/>
        <w:spacing w:after="0" w:line="240" w:lineRule="auto"/>
        <w:ind w:left="180" w:hanging="180"/>
        <w:rPr>
          <w:color w:val="000000" w:themeColor="text1"/>
        </w:rPr>
      </w:pPr>
      <w:r w:rsidRPr="00CF4800">
        <w:rPr>
          <w:color w:val="000000" w:themeColor="text1"/>
        </w:rPr>
        <w:t xml:space="preserve">For this Call for Proposal, the project(s) must contribute to the following WPHF </w:t>
      </w:r>
      <w:r w:rsidR="0846B9A8" w:rsidRPr="00CF4800">
        <w:rPr>
          <w:color w:val="000000" w:themeColor="text1"/>
        </w:rPr>
        <w:t>Impact</w:t>
      </w:r>
      <w:r w:rsidRPr="00CF4800">
        <w:rPr>
          <w:color w:val="000000" w:themeColor="text1"/>
        </w:rPr>
        <w:t xml:space="preserve"> </w:t>
      </w:r>
      <w:r w:rsidR="008E50F0">
        <w:rPr>
          <w:color w:val="000000" w:themeColor="text1"/>
        </w:rPr>
        <w:t>A</w:t>
      </w:r>
      <w:r w:rsidR="008E50F0" w:rsidRPr="00CF4800">
        <w:rPr>
          <w:color w:val="000000" w:themeColor="text1"/>
        </w:rPr>
        <w:t xml:space="preserve">rea </w:t>
      </w:r>
      <w:r w:rsidR="00381AA3" w:rsidRPr="00CF4800">
        <w:rPr>
          <w:color w:val="000000" w:themeColor="text1"/>
        </w:rPr>
        <w:t>3</w:t>
      </w:r>
      <w:r w:rsidRPr="00CF4800">
        <w:rPr>
          <w:color w:val="000000" w:themeColor="text1"/>
        </w:rPr>
        <w:t xml:space="preserve"> as outlined in Section 3. </w:t>
      </w:r>
    </w:p>
    <w:p w14:paraId="7DAEDF80" w14:textId="77777777" w:rsidR="003F6C25" w:rsidRPr="00CF4800" w:rsidRDefault="003F6C25" w:rsidP="008E50F0">
      <w:pPr>
        <w:spacing w:after="0" w:line="240" w:lineRule="auto"/>
        <w:ind w:hanging="180"/>
        <w:rPr>
          <w:color w:val="000000" w:themeColor="text1"/>
        </w:rPr>
      </w:pPr>
    </w:p>
    <w:p w14:paraId="38C13287" w14:textId="5F35B864" w:rsidR="003F6C25" w:rsidRPr="008E50F0" w:rsidRDefault="008C0463" w:rsidP="008E50F0">
      <w:pPr>
        <w:spacing w:after="0"/>
        <w:ind w:left="180" w:hanging="180"/>
        <w:rPr>
          <w:rFonts w:cstheme="minorHAnsi"/>
          <w:b/>
          <w:bCs/>
          <w:i/>
          <w:iCs/>
          <w:color w:val="000000" w:themeColor="text1"/>
          <w:lang w:val="en-CA" w:eastAsia="fr-FR"/>
        </w:rPr>
      </w:pPr>
      <w:r w:rsidRPr="00CF4800">
        <w:rPr>
          <w:color w:val="000000" w:themeColor="text1"/>
        </w:rPr>
        <w:t xml:space="preserve">WPHF </w:t>
      </w:r>
      <w:r w:rsidR="003F6C25" w:rsidRPr="00CF4800">
        <w:rPr>
          <w:color w:val="000000" w:themeColor="text1"/>
        </w:rPr>
        <w:t xml:space="preserve">Impact area </w:t>
      </w:r>
      <w:r w:rsidRPr="00CF4800">
        <w:rPr>
          <w:color w:val="000000" w:themeColor="text1"/>
        </w:rPr>
        <w:t>3</w:t>
      </w:r>
      <w:r w:rsidR="00797F45" w:rsidRPr="00CF4800">
        <w:rPr>
          <w:color w:val="000000" w:themeColor="text1"/>
        </w:rPr>
        <w:t xml:space="preserve"> for Programmatic Funding</w:t>
      </w:r>
      <w:r w:rsidRPr="00CF4800">
        <w:rPr>
          <w:color w:val="000000" w:themeColor="text1"/>
        </w:rPr>
        <w:t xml:space="preserve">: </w:t>
      </w:r>
      <w:r w:rsidR="00A40983" w:rsidRPr="008E50F0">
        <w:rPr>
          <w:rFonts w:cstheme="minorHAnsi"/>
          <w:b/>
          <w:bCs/>
          <w:i/>
          <w:iCs/>
          <w:color w:val="000000" w:themeColor="text1"/>
          <w:lang w:val="en-CA" w:eastAsia="fr-FR"/>
        </w:rPr>
        <w:t xml:space="preserve">Enhanced inclusive and gender responsive humanitarian/crisis planning, frameworks, and programming. </w:t>
      </w:r>
    </w:p>
    <w:p w14:paraId="66BC36CA" w14:textId="77777777" w:rsidR="003F6C25" w:rsidRPr="00CF4800" w:rsidRDefault="003F6C25" w:rsidP="008E50F0">
      <w:pPr>
        <w:pStyle w:val="ListParagraph"/>
        <w:spacing w:after="0"/>
        <w:ind w:left="180" w:hanging="180"/>
        <w:rPr>
          <w:color w:val="000000" w:themeColor="text1"/>
        </w:rPr>
      </w:pPr>
    </w:p>
    <w:p w14:paraId="5D8EC3BD" w14:textId="77777777" w:rsidR="003F6C25" w:rsidRPr="00CF4800" w:rsidRDefault="003F6C25" w:rsidP="008E50F0">
      <w:pPr>
        <w:pStyle w:val="ListParagraph"/>
        <w:spacing w:after="0"/>
        <w:ind w:left="180" w:hanging="180"/>
        <w:rPr>
          <w:color w:val="000000" w:themeColor="text1"/>
        </w:rPr>
      </w:pPr>
      <w:r w:rsidRPr="00CF4800">
        <w:rPr>
          <w:color w:val="000000" w:themeColor="text1"/>
        </w:rPr>
        <w:t>Required Impact Indicators (select at least one):</w:t>
      </w:r>
    </w:p>
    <w:p w14:paraId="4E7F099C" w14:textId="2C2F2187" w:rsidR="00A40983" w:rsidRPr="008E50F0" w:rsidRDefault="00A40983" w:rsidP="008E50F0">
      <w:pPr>
        <w:spacing w:after="0" w:line="240" w:lineRule="auto"/>
        <w:ind w:left="747" w:hanging="180"/>
        <w:rPr>
          <w:rFonts w:eastAsia="Times New Roman" w:cstheme="minorHAnsi"/>
          <w:color w:val="000000" w:themeColor="text1"/>
          <w:lang w:val="en-CA" w:eastAsia="fr-FR"/>
        </w:rPr>
      </w:pPr>
      <w:r w:rsidRPr="008E50F0">
        <w:rPr>
          <w:rFonts w:eastAsia="Times New Roman" w:cstheme="minorHAnsi"/>
          <w:color w:val="000000" w:themeColor="text1"/>
          <w:lang w:val="en-CA" w:eastAsia="fr-FR"/>
        </w:rPr>
        <w:t xml:space="preserve">3.1. Number/Percentage of women participating in decision-making in humanitarian and crisis response </w:t>
      </w:r>
      <w:r w:rsidR="008E50F0">
        <w:rPr>
          <w:rFonts w:eastAsia="Times New Roman" w:cstheme="minorHAnsi"/>
          <w:color w:val="000000" w:themeColor="text1"/>
          <w:lang w:val="en-CA" w:eastAsia="fr-FR"/>
        </w:rPr>
        <w:t>(disaggregated by age group)</w:t>
      </w:r>
    </w:p>
    <w:p w14:paraId="7AA087AD" w14:textId="77777777" w:rsidR="00A40983" w:rsidRPr="008E50F0" w:rsidRDefault="00A40983" w:rsidP="008E50F0">
      <w:pPr>
        <w:spacing w:after="0" w:line="240" w:lineRule="auto"/>
        <w:ind w:left="747" w:hanging="180"/>
        <w:rPr>
          <w:rFonts w:eastAsia="Times New Roman" w:cstheme="minorHAnsi"/>
          <w:color w:val="000000" w:themeColor="text1"/>
          <w:lang w:val="en-CA" w:eastAsia="fr-FR"/>
        </w:rPr>
      </w:pPr>
      <w:r w:rsidRPr="008E50F0">
        <w:rPr>
          <w:rFonts w:eastAsia="Times New Roman" w:cstheme="minorHAnsi"/>
          <w:color w:val="000000" w:themeColor="text1"/>
          <w:lang w:val="en-CA" w:eastAsia="fr-FR"/>
        </w:rPr>
        <w:t xml:space="preserve">3.2. Types of mechanisms established to improve gender responsive humanitarian and crisis planning, frameworks and programming </w:t>
      </w:r>
    </w:p>
    <w:p w14:paraId="710F301D" w14:textId="77777777" w:rsidR="003F6C25" w:rsidRPr="00CF4800" w:rsidRDefault="003F6C25" w:rsidP="008E50F0">
      <w:pPr>
        <w:pStyle w:val="ListParagraph"/>
        <w:spacing w:after="0"/>
        <w:ind w:left="180" w:hanging="180"/>
        <w:rPr>
          <w:color w:val="000000" w:themeColor="text1"/>
        </w:rPr>
      </w:pPr>
    </w:p>
    <w:p w14:paraId="6EB5B75A" w14:textId="467600E6" w:rsidR="003F6C25" w:rsidRPr="008E50F0" w:rsidRDefault="003F6C25" w:rsidP="008E50F0">
      <w:pPr>
        <w:ind w:left="180" w:hanging="180"/>
        <w:rPr>
          <w:rFonts w:ascii="Times New Roman" w:eastAsia="Times New Roman" w:hAnsi="Times New Roman" w:cs="Times New Roman"/>
          <w:color w:val="000000" w:themeColor="text1"/>
          <w:sz w:val="24"/>
          <w:szCs w:val="24"/>
        </w:rPr>
      </w:pPr>
      <w:r w:rsidRPr="00CF4800">
        <w:rPr>
          <w:color w:val="000000" w:themeColor="text1"/>
        </w:rPr>
        <w:t xml:space="preserve">Please refer to the indicator tip sheet </w:t>
      </w:r>
      <w:r w:rsidR="003D4AF8" w:rsidRPr="00CF4800">
        <w:rPr>
          <w:color w:val="000000" w:themeColor="text1"/>
        </w:rPr>
        <w:t>for</w:t>
      </w:r>
      <w:r w:rsidR="003D4AF8">
        <w:rPr>
          <w:color w:val="000000" w:themeColor="text1"/>
        </w:rPr>
        <w:t xml:space="preserve"> WPHF</w:t>
      </w:r>
      <w:r w:rsidR="003D4AF8" w:rsidRPr="00CF4800">
        <w:rPr>
          <w:color w:val="000000" w:themeColor="text1"/>
        </w:rPr>
        <w:t xml:space="preserve"> Impact </w:t>
      </w:r>
      <w:r w:rsidR="003D4AF8">
        <w:rPr>
          <w:color w:val="000000" w:themeColor="text1"/>
        </w:rPr>
        <w:t>A</w:t>
      </w:r>
      <w:r w:rsidR="003D4AF8" w:rsidRPr="00CF4800">
        <w:rPr>
          <w:color w:val="000000" w:themeColor="text1"/>
        </w:rPr>
        <w:t xml:space="preserve">rea 3 in </w:t>
      </w:r>
      <w:r w:rsidR="003D4AF8">
        <w:rPr>
          <w:color w:val="000000" w:themeColor="text1"/>
        </w:rPr>
        <w:t>s</w:t>
      </w:r>
      <w:r w:rsidR="003D4AF8" w:rsidRPr="00CF4800">
        <w:rPr>
          <w:color w:val="000000" w:themeColor="text1"/>
        </w:rPr>
        <w:t>ection 8 below.</w:t>
      </w:r>
    </w:p>
    <w:p w14:paraId="6946E765" w14:textId="33EA50B6" w:rsidR="00765A30" w:rsidRPr="00CF4800" w:rsidRDefault="00765A30" w:rsidP="009A73DE">
      <w:pPr>
        <w:spacing w:after="0"/>
        <w:rPr>
          <w:color w:val="000000" w:themeColor="text1"/>
        </w:rPr>
      </w:pPr>
    </w:p>
    <w:p w14:paraId="5D593C52" w14:textId="05E9A542" w:rsidR="003F05E6" w:rsidRPr="00CF4800" w:rsidRDefault="005527F6" w:rsidP="009A73DE">
      <w:pPr>
        <w:spacing w:after="0" w:line="240" w:lineRule="auto"/>
        <w:rPr>
          <w:b/>
          <w:color w:val="000000" w:themeColor="text1"/>
        </w:rPr>
      </w:pPr>
      <w:r w:rsidRPr="00CF4800">
        <w:rPr>
          <w:b/>
          <w:color w:val="000000" w:themeColor="text1"/>
        </w:rPr>
        <w:t>6</w:t>
      </w:r>
      <w:r w:rsidR="003F05E6" w:rsidRPr="00CF4800">
        <w:rPr>
          <w:b/>
          <w:color w:val="000000" w:themeColor="text1"/>
        </w:rPr>
        <w:t>.8. Must applicants contribute to the project budget?</w:t>
      </w:r>
    </w:p>
    <w:p w14:paraId="2E16F7C5" w14:textId="77777777" w:rsidR="00F372A8" w:rsidRPr="00CF4800" w:rsidRDefault="00F372A8" w:rsidP="00F372A8">
      <w:pPr>
        <w:spacing w:after="0" w:line="240" w:lineRule="auto"/>
        <w:rPr>
          <w:color w:val="000000" w:themeColor="text1"/>
        </w:rPr>
      </w:pPr>
      <w:r w:rsidRPr="00CF4800">
        <w:rPr>
          <w:color w:val="000000" w:themeColor="text1"/>
        </w:rPr>
        <w:t>Civil society organizations are not required to contribute to the budget.</w:t>
      </w:r>
    </w:p>
    <w:p w14:paraId="21DA0260" w14:textId="77777777" w:rsidR="003F05E6" w:rsidRPr="00CF4800" w:rsidRDefault="003F05E6" w:rsidP="009A73DE">
      <w:pPr>
        <w:spacing w:after="0" w:line="240" w:lineRule="auto"/>
        <w:rPr>
          <w:color w:val="000000" w:themeColor="text1"/>
        </w:rPr>
      </w:pPr>
    </w:p>
    <w:p w14:paraId="4399D3DF" w14:textId="6F7589E0" w:rsidR="003F05E6" w:rsidRPr="00CF4800" w:rsidRDefault="005527F6" w:rsidP="009A73DE">
      <w:pPr>
        <w:spacing w:after="0" w:line="240" w:lineRule="auto"/>
        <w:rPr>
          <w:b/>
          <w:bCs/>
          <w:color w:val="000000" w:themeColor="text1"/>
        </w:rPr>
      </w:pPr>
      <w:r w:rsidRPr="00CF4800">
        <w:rPr>
          <w:b/>
          <w:bCs/>
          <w:color w:val="000000" w:themeColor="text1"/>
        </w:rPr>
        <w:t>6</w:t>
      </w:r>
      <w:r w:rsidR="003F05E6" w:rsidRPr="00CF4800">
        <w:rPr>
          <w:b/>
          <w:bCs/>
          <w:color w:val="000000" w:themeColor="text1"/>
        </w:rPr>
        <w:t xml:space="preserve">.9 Where do we obtain more information about the call? </w:t>
      </w:r>
    </w:p>
    <w:p w14:paraId="7F61F849" w14:textId="50AD5095" w:rsidR="003F05E6" w:rsidRPr="00CF4800" w:rsidRDefault="003F05E6" w:rsidP="009A73DE">
      <w:pPr>
        <w:spacing w:after="0" w:line="240" w:lineRule="auto"/>
        <w:jc w:val="both"/>
        <w:rPr>
          <w:rFonts w:ascii="wf_segoe-ui_normal" w:hAnsi="wf_segoe-ui_normal"/>
          <w:bCs/>
          <w:color w:val="000000" w:themeColor="text1"/>
        </w:rPr>
      </w:pPr>
      <w:r w:rsidRPr="00CF4800">
        <w:rPr>
          <w:rFonts w:ascii="wf_segoe-ui_normal" w:hAnsi="wf_segoe-ui_normal"/>
          <w:bCs/>
          <w:color w:val="000000" w:themeColor="text1"/>
        </w:rPr>
        <w:t xml:space="preserve">An information session will be organized with prospective applicants on </w:t>
      </w:r>
      <w:r w:rsidR="00B23DF8">
        <w:rPr>
          <w:rFonts w:ascii="wf_segoe-ui_normal" w:hAnsi="wf_segoe-ui_normal"/>
          <w:bCs/>
          <w:color w:val="000000" w:themeColor="text1"/>
        </w:rPr>
        <w:t>30/07/2021</w:t>
      </w:r>
      <w:r w:rsidRPr="00CF4800">
        <w:rPr>
          <w:rFonts w:ascii="wf_segoe-ui_normal" w:hAnsi="wf_segoe-ui_normal"/>
          <w:bCs/>
          <w:color w:val="000000" w:themeColor="text1"/>
        </w:rPr>
        <w:t xml:space="preserve"> online organized by UN Women with WPHF Secretariat support. To register, please email: </w:t>
      </w:r>
      <w:r w:rsidR="0072271A" w:rsidRPr="0072271A">
        <w:rPr>
          <w:rFonts w:ascii="wf_segoe-ui_normal" w:hAnsi="wf_segoe-ui_normal"/>
          <w:bCs/>
          <w:color w:val="000000" w:themeColor="text1"/>
        </w:rPr>
        <w:t>breifni.flanagan@unwomen.org</w:t>
      </w:r>
      <w:r w:rsidRPr="0072271A">
        <w:rPr>
          <w:rFonts w:ascii="wf_segoe-ui_normal" w:hAnsi="wf_segoe-ui_normal"/>
          <w:bCs/>
          <w:color w:val="000000" w:themeColor="text1"/>
        </w:rPr>
        <w:t xml:space="preserve"> by </w:t>
      </w:r>
      <w:r w:rsidR="0072271A" w:rsidRPr="0072271A">
        <w:rPr>
          <w:rFonts w:ascii="wf_segoe-ui_normal" w:hAnsi="wf_segoe-ui_normal"/>
          <w:bCs/>
          <w:color w:val="000000" w:themeColor="text1"/>
        </w:rPr>
        <w:t>27/07/2021.</w:t>
      </w:r>
    </w:p>
    <w:p w14:paraId="6C7F0666" w14:textId="77777777" w:rsidR="003F05E6" w:rsidRPr="00CF4800" w:rsidRDefault="003F05E6" w:rsidP="003F05E6">
      <w:pPr>
        <w:spacing w:after="0" w:line="240" w:lineRule="auto"/>
        <w:ind w:left="360"/>
        <w:rPr>
          <w:b/>
          <w:bCs/>
          <w:color w:val="000000" w:themeColor="text1"/>
        </w:rPr>
      </w:pPr>
    </w:p>
    <w:p w14:paraId="602556E3" w14:textId="0B37395C" w:rsidR="003F05E6" w:rsidRPr="00CF4800" w:rsidRDefault="005527F6" w:rsidP="003F05E6">
      <w:pPr>
        <w:spacing w:after="0" w:line="240" w:lineRule="auto"/>
        <w:rPr>
          <w:b/>
          <w:color w:val="000000" w:themeColor="text1"/>
        </w:rPr>
      </w:pPr>
      <w:r w:rsidRPr="00CF4800">
        <w:rPr>
          <w:b/>
          <w:color w:val="000000" w:themeColor="text1"/>
        </w:rPr>
        <w:t>7</w:t>
      </w:r>
      <w:r w:rsidR="003F05E6" w:rsidRPr="00CF4800">
        <w:rPr>
          <w:b/>
          <w:color w:val="000000" w:themeColor="text1"/>
        </w:rPr>
        <w:t>. Where, when and how to apply for the Call for Proposals?</w:t>
      </w:r>
    </w:p>
    <w:p w14:paraId="13832898" w14:textId="77777777" w:rsidR="003F05E6" w:rsidRPr="00CF4800" w:rsidRDefault="003F05E6" w:rsidP="003F05E6">
      <w:pPr>
        <w:spacing w:after="0" w:line="240" w:lineRule="auto"/>
        <w:rPr>
          <w:b/>
          <w:color w:val="000000" w:themeColor="text1"/>
        </w:rPr>
      </w:pPr>
    </w:p>
    <w:p w14:paraId="29B918CD" w14:textId="35A85818" w:rsidR="003F05E6" w:rsidRPr="00CF4800" w:rsidRDefault="003F05E6" w:rsidP="003F05E6">
      <w:pPr>
        <w:pStyle w:val="ListParagraph"/>
        <w:numPr>
          <w:ilvl w:val="0"/>
          <w:numId w:val="25"/>
        </w:numPr>
        <w:spacing w:after="0" w:line="240" w:lineRule="auto"/>
        <w:ind w:left="720"/>
        <w:rPr>
          <w:bCs/>
          <w:color w:val="000000" w:themeColor="text1"/>
        </w:rPr>
      </w:pPr>
      <w:r w:rsidRPr="00CF4800">
        <w:rPr>
          <w:bCs/>
          <w:color w:val="000000" w:themeColor="text1"/>
        </w:rPr>
        <w:t xml:space="preserve">The deadline for submission of proposals is </w:t>
      </w:r>
      <w:r w:rsidR="0072271A">
        <w:rPr>
          <w:b/>
          <w:color w:val="000000" w:themeColor="text1"/>
        </w:rPr>
        <w:t>16/08/2021</w:t>
      </w:r>
      <w:r w:rsidRPr="00CF4800">
        <w:rPr>
          <w:bCs/>
          <w:color w:val="000000" w:themeColor="text1"/>
        </w:rPr>
        <w:t xml:space="preserve"> Applications received after that date will not be considered. </w:t>
      </w:r>
    </w:p>
    <w:p w14:paraId="461AC8CC" w14:textId="247FD515" w:rsidR="004001E6" w:rsidRPr="00CF4800" w:rsidRDefault="004001E6" w:rsidP="004001E6">
      <w:pPr>
        <w:pStyle w:val="ListParagraph"/>
        <w:numPr>
          <w:ilvl w:val="0"/>
          <w:numId w:val="25"/>
        </w:numPr>
        <w:spacing w:after="0" w:line="240" w:lineRule="auto"/>
        <w:ind w:left="720"/>
        <w:jc w:val="both"/>
        <w:rPr>
          <w:rFonts w:ascii="wf_segoe-ui_normal" w:hAnsi="wf_segoe-ui_normal"/>
          <w:bCs/>
          <w:color w:val="000000" w:themeColor="text1"/>
        </w:rPr>
      </w:pPr>
      <w:r w:rsidRPr="00CF4800">
        <w:rPr>
          <w:rFonts w:ascii="wf_segoe-ui_normal" w:hAnsi="wf_segoe-ui_normal"/>
          <w:bCs/>
          <w:color w:val="000000" w:themeColor="text1"/>
        </w:rPr>
        <w:t>Applications are accepted in</w:t>
      </w:r>
      <w:r w:rsidR="00146F8B" w:rsidRPr="00CF4800">
        <w:rPr>
          <w:rFonts w:ascii="wf_segoe-ui_normal" w:hAnsi="wf_segoe-ui_normal"/>
          <w:bCs/>
          <w:color w:val="000000" w:themeColor="text1"/>
        </w:rPr>
        <w:t xml:space="preserve"> English</w:t>
      </w:r>
      <w:r w:rsidR="00073C89" w:rsidRPr="00CF4800">
        <w:rPr>
          <w:rFonts w:ascii="wf_segoe-ui_normal" w:hAnsi="wf_segoe-ui_normal"/>
          <w:bCs/>
          <w:color w:val="000000" w:themeColor="text1"/>
        </w:rPr>
        <w:t>.</w:t>
      </w:r>
      <w:r w:rsidRPr="00CF4800">
        <w:rPr>
          <w:rFonts w:ascii="wf_segoe-ui_normal" w:hAnsi="wf_segoe-ui_normal"/>
          <w:bCs/>
          <w:color w:val="000000" w:themeColor="text1"/>
        </w:rPr>
        <w:t xml:space="preserve"> Only applications in these languages will be accepted.</w:t>
      </w:r>
    </w:p>
    <w:p w14:paraId="16A4AA02" w14:textId="720F6558" w:rsidR="004001E6" w:rsidRPr="00CF4800" w:rsidRDefault="004001E6" w:rsidP="00BA6C90">
      <w:pPr>
        <w:pStyle w:val="ListParagraph"/>
        <w:numPr>
          <w:ilvl w:val="0"/>
          <w:numId w:val="25"/>
        </w:numPr>
        <w:ind w:left="720"/>
        <w:rPr>
          <w:color w:val="000000" w:themeColor="text1"/>
        </w:rPr>
      </w:pPr>
      <w:r w:rsidRPr="00CF4800">
        <w:rPr>
          <w:rFonts w:ascii="wf_segoe-ui_normal" w:hAnsi="wf_segoe-ui_normal"/>
          <w:bCs/>
          <w:color w:val="000000" w:themeColor="text1"/>
        </w:rPr>
        <w:t>Y</w:t>
      </w:r>
      <w:r w:rsidRPr="00CF4800">
        <w:rPr>
          <w:color w:val="000000" w:themeColor="text1"/>
        </w:rPr>
        <w:t>ou may not make changes to your application after it is submitted.</w:t>
      </w:r>
    </w:p>
    <w:p w14:paraId="3CF9322F" w14:textId="7B5A9350" w:rsidR="003F05E6" w:rsidRPr="00CF4800" w:rsidRDefault="003F05E6" w:rsidP="003F05E6">
      <w:pPr>
        <w:pStyle w:val="ListParagraph"/>
        <w:numPr>
          <w:ilvl w:val="0"/>
          <w:numId w:val="25"/>
        </w:numPr>
        <w:spacing w:after="0" w:line="240" w:lineRule="auto"/>
        <w:ind w:left="720"/>
        <w:rPr>
          <w:bCs/>
          <w:color w:val="000000" w:themeColor="text1"/>
        </w:rPr>
      </w:pPr>
      <w:r w:rsidRPr="00CF4800">
        <w:rPr>
          <w:bCs/>
          <w:color w:val="000000" w:themeColor="text1"/>
        </w:rPr>
        <w:t xml:space="preserve">Application packages should be emailed to: </w:t>
      </w:r>
      <w:hyperlink r:id="rId8" w:history="1">
        <w:r w:rsidR="0072271A" w:rsidRPr="00DD4FB7">
          <w:rPr>
            <w:rStyle w:val="Hyperlink"/>
            <w:bCs/>
          </w:rPr>
          <w:t>breifni.flanagan@unwomen.org</w:t>
        </w:r>
      </w:hyperlink>
      <w:r w:rsidR="0072271A">
        <w:rPr>
          <w:bCs/>
          <w:color w:val="000000" w:themeColor="text1"/>
        </w:rPr>
        <w:t xml:space="preserve"> </w:t>
      </w:r>
    </w:p>
    <w:p w14:paraId="3F272F95" w14:textId="1E8D9EED" w:rsidR="003F05E6" w:rsidRPr="00CF4800" w:rsidRDefault="003F05E6" w:rsidP="003F05E6">
      <w:pPr>
        <w:pStyle w:val="ListParagraph"/>
        <w:numPr>
          <w:ilvl w:val="0"/>
          <w:numId w:val="25"/>
        </w:numPr>
        <w:spacing w:after="0" w:line="240" w:lineRule="auto"/>
        <w:ind w:left="720"/>
        <w:jc w:val="both"/>
        <w:rPr>
          <w:color w:val="000000" w:themeColor="text1"/>
        </w:rPr>
      </w:pPr>
      <w:r w:rsidRPr="00CF4800">
        <w:rPr>
          <w:color w:val="000000" w:themeColor="text1"/>
        </w:rPr>
        <w:t>Applications can be submitted in .doc, .docx, or .pdf format. No other formats will be accepted. Legal registration certificates can be submitted in jpeg, doc., docx., or pdf format. All documents should be submitted together as a package.</w:t>
      </w:r>
    </w:p>
    <w:p w14:paraId="470AEB17" w14:textId="77777777" w:rsidR="003F05E6" w:rsidRPr="00CF4800" w:rsidRDefault="003F05E6" w:rsidP="003F05E6">
      <w:pPr>
        <w:pStyle w:val="ListParagraph"/>
        <w:numPr>
          <w:ilvl w:val="0"/>
          <w:numId w:val="25"/>
        </w:numPr>
        <w:spacing w:after="0" w:line="240" w:lineRule="auto"/>
        <w:ind w:left="720"/>
        <w:jc w:val="both"/>
        <w:rPr>
          <w:rFonts w:ascii="wf_segoe-ui_normal" w:hAnsi="wf_segoe-ui_normal"/>
          <w:bCs/>
          <w:color w:val="000000" w:themeColor="text1"/>
        </w:rPr>
      </w:pPr>
      <w:r w:rsidRPr="00CF4800">
        <w:rPr>
          <w:rFonts w:ascii="wf_segoe-ui_normal" w:hAnsi="wf_segoe-ui_normal"/>
          <w:bCs/>
          <w:color w:val="000000" w:themeColor="text1"/>
        </w:rPr>
        <w:t>The UN Women Country Office will aim to acknowledge receipt of application within three days of receipt. Please DO NOT resend your application unless you do not receive a confirm of receipt within three days.</w:t>
      </w:r>
    </w:p>
    <w:p w14:paraId="6D5EDB4D" w14:textId="0A9DFEAC" w:rsidR="003F05E6" w:rsidRPr="00CF4800" w:rsidRDefault="003F05E6" w:rsidP="00BA6C90">
      <w:pPr>
        <w:pStyle w:val="ListParagraph"/>
        <w:numPr>
          <w:ilvl w:val="0"/>
          <w:numId w:val="25"/>
        </w:numPr>
        <w:spacing w:after="0" w:line="240" w:lineRule="auto"/>
        <w:ind w:left="720"/>
        <w:jc w:val="both"/>
        <w:rPr>
          <w:color w:val="000000" w:themeColor="text1"/>
        </w:rPr>
      </w:pPr>
      <w:r w:rsidRPr="00CF4800">
        <w:rPr>
          <w:color w:val="000000" w:themeColor="text1"/>
        </w:rPr>
        <w:t>The UN Women Country Office will be able to provide some limited support to grant applicants. Please note, that questions contained in this guidance note will be responded to. Please allow a minimum of 48 hours for responses to any questions.</w:t>
      </w:r>
      <w:r w:rsidR="004001E6" w:rsidRPr="00CF4800">
        <w:rPr>
          <w:color w:val="000000" w:themeColor="text1"/>
        </w:rPr>
        <w:t xml:space="preserve"> </w:t>
      </w:r>
      <w:r w:rsidRPr="00CF4800">
        <w:rPr>
          <w:color w:val="000000" w:themeColor="text1"/>
        </w:rPr>
        <w:t xml:space="preserve">In addition, an </w:t>
      </w:r>
      <w:r w:rsidRPr="00CF4800">
        <w:rPr>
          <w:b/>
          <w:bCs/>
          <w:color w:val="000000" w:themeColor="text1"/>
        </w:rPr>
        <w:t>information session</w:t>
      </w:r>
      <w:r w:rsidRPr="00CF4800">
        <w:rPr>
          <w:color w:val="000000" w:themeColor="text1"/>
        </w:rPr>
        <w:t xml:space="preserve"> for prospective applicants will be organized</w:t>
      </w:r>
      <w:r w:rsidR="0072271A">
        <w:rPr>
          <w:color w:val="000000" w:themeColor="text1"/>
        </w:rPr>
        <w:t xml:space="preserve"> online</w:t>
      </w:r>
      <w:r w:rsidRPr="00CF4800">
        <w:rPr>
          <w:color w:val="000000" w:themeColor="text1"/>
        </w:rPr>
        <w:t xml:space="preserve"> </w:t>
      </w:r>
      <w:r w:rsidRPr="0072271A">
        <w:rPr>
          <w:color w:val="000000" w:themeColor="text1"/>
        </w:rPr>
        <w:t xml:space="preserve">on </w:t>
      </w:r>
      <w:r w:rsidR="0072271A" w:rsidRPr="0072271A">
        <w:rPr>
          <w:color w:val="000000" w:themeColor="text1"/>
        </w:rPr>
        <w:t>30/07/2021</w:t>
      </w:r>
      <w:r w:rsidRPr="0072271A">
        <w:rPr>
          <w:color w:val="000000" w:themeColor="text1"/>
        </w:rPr>
        <w:t xml:space="preserve"> at </w:t>
      </w:r>
      <w:r w:rsidR="0072271A" w:rsidRPr="0072271A">
        <w:rPr>
          <w:color w:val="000000" w:themeColor="text1"/>
        </w:rPr>
        <w:t>09:00am Fiji</w:t>
      </w:r>
      <w:r w:rsidRPr="0072271A">
        <w:rPr>
          <w:color w:val="000000" w:themeColor="text1"/>
        </w:rPr>
        <w:t xml:space="preserve"> local time</w:t>
      </w:r>
      <w:r w:rsidRPr="00CF4800">
        <w:rPr>
          <w:color w:val="000000" w:themeColor="text1"/>
        </w:rPr>
        <w:t xml:space="preserve">. If you would like to participate, please register here: </w:t>
      </w:r>
      <w:hyperlink r:id="rId9" w:history="1">
        <w:r w:rsidR="0072271A" w:rsidRPr="00DD4FB7">
          <w:rPr>
            <w:rStyle w:val="Hyperlink"/>
          </w:rPr>
          <w:t>breifni.flanagan@unwomen.org</w:t>
        </w:r>
      </w:hyperlink>
      <w:r w:rsidR="0072271A">
        <w:rPr>
          <w:color w:val="000000" w:themeColor="text1"/>
        </w:rPr>
        <w:t xml:space="preserve"> </w:t>
      </w:r>
    </w:p>
    <w:p w14:paraId="0F381462" w14:textId="7572AC9E" w:rsidR="008C11DD" w:rsidRPr="00CF4800" w:rsidRDefault="008C11DD" w:rsidP="003F05E6">
      <w:pPr>
        <w:spacing w:after="0" w:line="240" w:lineRule="auto"/>
        <w:rPr>
          <w:i/>
          <w:color w:val="000000" w:themeColor="text1"/>
        </w:rPr>
      </w:pPr>
    </w:p>
    <w:p w14:paraId="1429225F" w14:textId="60A02FF3" w:rsidR="003F05E6" w:rsidRPr="00CF4800" w:rsidRDefault="005527F6" w:rsidP="009A73DE">
      <w:pPr>
        <w:spacing w:after="0" w:line="240" w:lineRule="auto"/>
        <w:rPr>
          <w:b/>
          <w:color w:val="000000" w:themeColor="text1"/>
        </w:rPr>
      </w:pPr>
      <w:r w:rsidRPr="00CF4800">
        <w:rPr>
          <w:b/>
          <w:color w:val="000000" w:themeColor="text1"/>
        </w:rPr>
        <w:t>7</w:t>
      </w:r>
      <w:r w:rsidR="003F05E6" w:rsidRPr="00CF4800">
        <w:rPr>
          <w:b/>
          <w:color w:val="000000" w:themeColor="text1"/>
        </w:rPr>
        <w:t>.1. Required Components of the Application Package</w:t>
      </w:r>
    </w:p>
    <w:p w14:paraId="09184366" w14:textId="77777777" w:rsidR="003F05E6" w:rsidRPr="00CF4800" w:rsidRDefault="003F05E6" w:rsidP="009A73DE">
      <w:pPr>
        <w:spacing w:after="0" w:line="240" w:lineRule="auto"/>
        <w:rPr>
          <w:b/>
          <w:color w:val="000000" w:themeColor="text1"/>
        </w:rPr>
      </w:pPr>
    </w:p>
    <w:p w14:paraId="7FB850FA" w14:textId="77777777" w:rsidR="00F372A8" w:rsidRPr="00CF4800" w:rsidRDefault="00F372A8" w:rsidP="00F372A8">
      <w:pPr>
        <w:spacing w:after="0" w:line="240" w:lineRule="auto"/>
        <w:rPr>
          <w:color w:val="000000" w:themeColor="text1"/>
        </w:rPr>
      </w:pPr>
      <w:r w:rsidRPr="00CF4800">
        <w:rPr>
          <w:color w:val="000000" w:themeColor="text1"/>
        </w:rPr>
        <w:t>Applicants are required to use the WPHF templates provided. Please note, incomplete applications or use of different templates will not be considered.</w:t>
      </w:r>
    </w:p>
    <w:p w14:paraId="5D078692" w14:textId="77777777" w:rsidR="00F372A8" w:rsidRPr="00CF4800" w:rsidRDefault="00F372A8" w:rsidP="00F372A8">
      <w:pPr>
        <w:spacing w:after="0" w:line="240" w:lineRule="auto"/>
        <w:rPr>
          <w:color w:val="000000" w:themeColor="text1"/>
          <w:u w:val="single"/>
        </w:rPr>
      </w:pPr>
    </w:p>
    <w:p w14:paraId="04C283B5" w14:textId="77777777" w:rsidR="00F372A8" w:rsidRPr="00CF4800" w:rsidRDefault="00F372A8" w:rsidP="00F372A8">
      <w:pPr>
        <w:pStyle w:val="ListParagraph"/>
        <w:numPr>
          <w:ilvl w:val="0"/>
          <w:numId w:val="26"/>
        </w:numPr>
        <w:spacing w:after="0" w:line="240" w:lineRule="auto"/>
        <w:ind w:left="360"/>
        <w:rPr>
          <w:color w:val="000000" w:themeColor="text1"/>
        </w:rPr>
      </w:pPr>
      <w:r w:rsidRPr="00CF4800">
        <w:rPr>
          <w:color w:val="000000" w:themeColor="text1"/>
        </w:rPr>
        <w:t>WPHF Proposal Template (attached, no more than 10 pages, excluding Annex A and B)</w:t>
      </w:r>
    </w:p>
    <w:p w14:paraId="3543631D" w14:textId="77777777" w:rsidR="00F372A8" w:rsidRPr="00CF4800" w:rsidRDefault="00F372A8" w:rsidP="00F372A8">
      <w:pPr>
        <w:pStyle w:val="ListParagraph"/>
        <w:numPr>
          <w:ilvl w:val="0"/>
          <w:numId w:val="27"/>
        </w:numPr>
        <w:spacing w:after="0" w:line="240" w:lineRule="auto"/>
        <w:ind w:left="360"/>
        <w:rPr>
          <w:color w:val="000000" w:themeColor="text1"/>
          <w:u w:val="single"/>
        </w:rPr>
      </w:pPr>
      <w:r w:rsidRPr="00CF4800">
        <w:rPr>
          <w:color w:val="000000" w:themeColor="text1"/>
        </w:rPr>
        <w:t>Results Framework (Proposal Template Annex: A)</w:t>
      </w:r>
    </w:p>
    <w:p w14:paraId="753E1763" w14:textId="77777777" w:rsidR="00F372A8" w:rsidRPr="00CF4800" w:rsidRDefault="00F372A8" w:rsidP="00F372A8">
      <w:pPr>
        <w:pStyle w:val="ListParagraph"/>
        <w:numPr>
          <w:ilvl w:val="0"/>
          <w:numId w:val="27"/>
        </w:numPr>
        <w:spacing w:after="0" w:line="240" w:lineRule="auto"/>
        <w:ind w:left="360"/>
        <w:rPr>
          <w:color w:val="000000" w:themeColor="text1"/>
          <w:u w:val="single"/>
        </w:rPr>
      </w:pPr>
      <w:r w:rsidRPr="00CF4800">
        <w:rPr>
          <w:color w:val="000000" w:themeColor="text1"/>
        </w:rPr>
        <w:t>Project Budget (Proposal Template Annex: B)</w:t>
      </w:r>
    </w:p>
    <w:p w14:paraId="6A143895" w14:textId="77777777" w:rsidR="00F372A8" w:rsidRPr="00CF4800" w:rsidRDefault="00F372A8" w:rsidP="00F372A8">
      <w:pPr>
        <w:spacing w:after="0" w:line="240" w:lineRule="auto"/>
        <w:rPr>
          <w:color w:val="000000" w:themeColor="text1"/>
          <w:sz w:val="8"/>
          <w:szCs w:val="8"/>
          <w:u w:val="single"/>
        </w:rPr>
      </w:pPr>
    </w:p>
    <w:p w14:paraId="24CBA3A4" w14:textId="77777777" w:rsidR="00F372A8" w:rsidRPr="00CF4800" w:rsidRDefault="00F372A8" w:rsidP="00F372A8">
      <w:pPr>
        <w:spacing w:after="0" w:line="240" w:lineRule="auto"/>
        <w:rPr>
          <w:color w:val="000000" w:themeColor="text1"/>
        </w:rPr>
      </w:pPr>
      <w:r w:rsidRPr="00CF4800">
        <w:rPr>
          <w:color w:val="000000" w:themeColor="text1"/>
        </w:rPr>
        <w:t>AND</w:t>
      </w:r>
      <w:r w:rsidRPr="00CF4800">
        <w:rPr>
          <w:color w:val="000000" w:themeColor="text1"/>
        </w:rPr>
        <w:tab/>
      </w:r>
    </w:p>
    <w:p w14:paraId="3351998E" w14:textId="77777777" w:rsidR="00F372A8" w:rsidRPr="00CF4800" w:rsidRDefault="00F372A8" w:rsidP="00F372A8">
      <w:pPr>
        <w:spacing w:after="0" w:line="240" w:lineRule="auto"/>
        <w:rPr>
          <w:color w:val="000000" w:themeColor="text1"/>
          <w:sz w:val="10"/>
          <w:szCs w:val="10"/>
          <w:u w:val="single"/>
        </w:rPr>
      </w:pPr>
    </w:p>
    <w:p w14:paraId="5C7CA14B" w14:textId="77777777" w:rsidR="00F372A8" w:rsidRPr="00CF4800" w:rsidRDefault="00F372A8" w:rsidP="00F372A8">
      <w:pPr>
        <w:pStyle w:val="ListParagraph"/>
        <w:numPr>
          <w:ilvl w:val="0"/>
          <w:numId w:val="27"/>
        </w:numPr>
        <w:spacing w:after="0" w:line="240" w:lineRule="auto"/>
        <w:ind w:left="360"/>
        <w:rPr>
          <w:color w:val="000000" w:themeColor="text1"/>
        </w:rPr>
      </w:pPr>
      <w:r w:rsidRPr="00CF4800">
        <w:rPr>
          <w:color w:val="000000" w:themeColor="text1"/>
        </w:rPr>
        <w:t>Proof of valid legal registration or status of the lead organization (if you are in the process for renewal, please share proof)</w:t>
      </w:r>
    </w:p>
    <w:p w14:paraId="3444A9BE" w14:textId="77777777" w:rsidR="00F372A8" w:rsidRPr="00CF4800" w:rsidRDefault="00F372A8" w:rsidP="00F372A8">
      <w:pPr>
        <w:spacing w:after="0" w:line="240" w:lineRule="auto"/>
        <w:ind w:left="360"/>
        <w:rPr>
          <w:color w:val="000000" w:themeColor="text1"/>
        </w:rPr>
      </w:pPr>
    </w:p>
    <w:p w14:paraId="49309C4A" w14:textId="77777777" w:rsidR="00F372A8" w:rsidRPr="00CF4800" w:rsidRDefault="00F372A8" w:rsidP="00F372A8">
      <w:pPr>
        <w:spacing w:after="0" w:line="240" w:lineRule="auto"/>
        <w:rPr>
          <w:b/>
          <w:bCs/>
          <w:color w:val="000000" w:themeColor="text1"/>
        </w:rPr>
      </w:pPr>
      <w:r w:rsidRPr="00CF4800">
        <w:rPr>
          <w:b/>
          <w:bCs/>
          <w:color w:val="000000" w:themeColor="text1"/>
        </w:rPr>
        <w:t xml:space="preserve">DO NOT submit photos or additional documents other than the ones listed. </w:t>
      </w:r>
    </w:p>
    <w:p w14:paraId="66E36FAF" w14:textId="5FC4062E" w:rsidR="00501742" w:rsidRPr="00CF4800" w:rsidRDefault="00501742" w:rsidP="000B7AA6">
      <w:pPr>
        <w:spacing w:after="0"/>
        <w:rPr>
          <w:color w:val="000000" w:themeColor="text1"/>
        </w:rPr>
      </w:pPr>
    </w:p>
    <w:p w14:paraId="1AF833DC" w14:textId="3859367F" w:rsidR="00F372A8" w:rsidRPr="00CF4800" w:rsidRDefault="005527F6" w:rsidP="008E50F0">
      <w:pPr>
        <w:spacing w:after="0"/>
        <w:rPr>
          <w:color w:val="000000" w:themeColor="text1"/>
        </w:rPr>
      </w:pPr>
      <w:r w:rsidRPr="00CF4800">
        <w:rPr>
          <w:b/>
          <w:color w:val="000000" w:themeColor="text1"/>
        </w:rPr>
        <w:t>7</w:t>
      </w:r>
      <w:r w:rsidR="00431426" w:rsidRPr="00CF4800">
        <w:rPr>
          <w:b/>
          <w:color w:val="000000" w:themeColor="text1"/>
        </w:rPr>
        <w:t>.2.</w:t>
      </w:r>
      <w:r w:rsidR="003600B1" w:rsidRPr="00CF4800">
        <w:rPr>
          <w:b/>
          <w:color w:val="000000" w:themeColor="text1"/>
        </w:rPr>
        <w:t xml:space="preserve"> Evaluation Criteria</w:t>
      </w:r>
      <w:r w:rsidR="008B0A76" w:rsidRPr="00CF4800">
        <w:rPr>
          <w:b/>
          <w:color w:val="000000" w:themeColor="text1"/>
        </w:rPr>
        <w:br/>
      </w:r>
      <w:r w:rsidR="00F372A8" w:rsidRPr="00CF4800">
        <w:rPr>
          <w:color w:val="000000" w:themeColor="text1"/>
        </w:rPr>
        <w:t>As you write your application, please keep in mind that proposals will be evaluated against the following criteria:</w:t>
      </w:r>
    </w:p>
    <w:p w14:paraId="348ECF2C" w14:textId="65AE934A" w:rsidR="00664426" w:rsidRPr="00CF4800" w:rsidRDefault="00664426" w:rsidP="009A73DE">
      <w:pPr>
        <w:spacing w:after="0"/>
        <w:rPr>
          <w:color w:val="000000" w:themeColor="text1"/>
        </w:rPr>
      </w:pPr>
    </w:p>
    <w:p w14:paraId="592B1699" w14:textId="212E545F" w:rsidR="00664426" w:rsidRPr="00CF4800" w:rsidRDefault="00664426" w:rsidP="009A73DE">
      <w:pPr>
        <w:spacing w:after="0"/>
        <w:contextualSpacing/>
        <w:rPr>
          <w:b/>
          <w:bCs/>
          <w:color w:val="000000" w:themeColor="text1"/>
        </w:rPr>
      </w:pPr>
      <w:r w:rsidRPr="00CF4800">
        <w:rPr>
          <w:b/>
          <w:bCs/>
          <w:color w:val="000000" w:themeColor="text1"/>
        </w:rPr>
        <w:t xml:space="preserve">Programmatic Funding </w:t>
      </w:r>
    </w:p>
    <w:p w14:paraId="776F1536" w14:textId="77777777" w:rsidR="00F372A8" w:rsidRPr="00CF4800" w:rsidRDefault="00F372A8" w:rsidP="00F372A8">
      <w:pPr>
        <w:spacing w:after="0"/>
        <w:ind w:firstLine="360"/>
        <w:contextualSpacing/>
        <w:rPr>
          <w:color w:val="000000" w:themeColor="text1"/>
          <w:u w:val="single"/>
        </w:rPr>
      </w:pPr>
      <w:r w:rsidRPr="00CF4800">
        <w:rPr>
          <w:color w:val="000000" w:themeColor="text1"/>
          <w:u w:val="single"/>
        </w:rPr>
        <w:t>Project design and objectives</w:t>
      </w:r>
      <w:r w:rsidRPr="00CF4800">
        <w:rPr>
          <w:color w:val="000000" w:themeColor="text1"/>
        </w:rPr>
        <w:t>:</w:t>
      </w:r>
    </w:p>
    <w:p w14:paraId="7B8D9D51" w14:textId="6A3FBC5C" w:rsidR="00F372A8" w:rsidRPr="00CF4800" w:rsidRDefault="00F372A8" w:rsidP="00F372A8">
      <w:pPr>
        <w:numPr>
          <w:ilvl w:val="0"/>
          <w:numId w:val="4"/>
        </w:numPr>
        <w:spacing w:after="0" w:line="240" w:lineRule="auto"/>
        <w:contextualSpacing/>
        <w:rPr>
          <w:rFonts w:eastAsia="Times New Roman"/>
          <w:color w:val="000000" w:themeColor="text1"/>
        </w:rPr>
      </w:pPr>
      <w:r w:rsidRPr="00CF4800">
        <w:rPr>
          <w:color w:val="000000" w:themeColor="text1"/>
        </w:rPr>
        <w:t xml:space="preserve">Alignment with the WPHF’s theory of change, particularly with respect to </w:t>
      </w:r>
      <w:r w:rsidR="008E50F0">
        <w:rPr>
          <w:color w:val="000000" w:themeColor="text1"/>
        </w:rPr>
        <w:t>the</w:t>
      </w:r>
      <w:r w:rsidR="008E50F0" w:rsidRPr="00CF4800">
        <w:rPr>
          <w:color w:val="000000" w:themeColor="text1"/>
        </w:rPr>
        <w:t xml:space="preserve"> </w:t>
      </w:r>
      <w:r w:rsidRPr="00CF4800">
        <w:rPr>
          <w:color w:val="000000" w:themeColor="text1"/>
        </w:rPr>
        <w:t>specific impact in its results framework.</w:t>
      </w:r>
    </w:p>
    <w:p w14:paraId="02D9316D" w14:textId="77777777" w:rsidR="00F372A8" w:rsidRPr="00CF4800" w:rsidRDefault="00F372A8" w:rsidP="00F372A8">
      <w:pPr>
        <w:pStyle w:val="Title"/>
        <w:numPr>
          <w:ilvl w:val="0"/>
          <w:numId w:val="4"/>
        </w:numPr>
        <w:contextualSpacing/>
        <w:jc w:val="left"/>
        <w:rPr>
          <w:rFonts w:ascii="Calibri" w:hAnsi="Calibri"/>
          <w:b w:val="0"/>
          <w:color w:val="000000" w:themeColor="text1"/>
          <w:sz w:val="22"/>
          <w:szCs w:val="22"/>
        </w:rPr>
      </w:pPr>
      <w:r w:rsidRPr="00CF4800">
        <w:rPr>
          <w:rFonts w:ascii="Calibri" w:hAnsi="Calibri"/>
          <w:b w:val="0"/>
          <w:color w:val="000000" w:themeColor="text1"/>
          <w:sz w:val="22"/>
        </w:rPr>
        <w:t>Definition of clear objectives, results, and outputs, taking account of best practices of gender-responsive approaches.</w:t>
      </w:r>
    </w:p>
    <w:p w14:paraId="6149E5F5" w14:textId="77777777" w:rsidR="00F372A8" w:rsidRPr="00CF4800" w:rsidRDefault="00F372A8" w:rsidP="00F372A8">
      <w:pPr>
        <w:pStyle w:val="Title"/>
        <w:numPr>
          <w:ilvl w:val="0"/>
          <w:numId w:val="4"/>
        </w:numPr>
        <w:contextualSpacing/>
        <w:jc w:val="left"/>
        <w:rPr>
          <w:rFonts w:ascii="Calibri" w:hAnsi="Calibri"/>
          <w:b w:val="0"/>
          <w:color w:val="000000" w:themeColor="text1"/>
          <w:sz w:val="22"/>
          <w:szCs w:val="22"/>
        </w:rPr>
      </w:pPr>
      <w:r w:rsidRPr="00CF4800">
        <w:rPr>
          <w:rFonts w:ascii="Calibri" w:hAnsi="Calibri"/>
          <w:b w:val="0"/>
          <w:color w:val="000000" w:themeColor="text1"/>
          <w:sz w:val="22"/>
          <w:szCs w:val="22"/>
        </w:rPr>
        <w:lastRenderedPageBreak/>
        <w:t>Ensuring meaningful participation of groups facing multiple and intersecting forms of discrimination, such as those marginalized and excluded due to poverty, ethnicity, disability, age, geography, migratory status, among others which are in clear alignment with Agenda 2030 of leaving no one behind.</w:t>
      </w:r>
    </w:p>
    <w:p w14:paraId="6B07CD28" w14:textId="77777777" w:rsidR="00F372A8" w:rsidRPr="00CF4800" w:rsidRDefault="00F372A8" w:rsidP="00F372A8">
      <w:pPr>
        <w:numPr>
          <w:ilvl w:val="0"/>
          <w:numId w:val="4"/>
        </w:numPr>
        <w:spacing w:after="0" w:line="240" w:lineRule="auto"/>
        <w:contextualSpacing/>
        <w:rPr>
          <w:color w:val="000000" w:themeColor="text1"/>
        </w:rPr>
      </w:pPr>
      <w:r w:rsidRPr="00CF4800">
        <w:rPr>
          <w:color w:val="000000" w:themeColor="text1"/>
        </w:rPr>
        <w:t xml:space="preserve">Partnership and capacity development of local women’s organizations and/or a clear capacity building plan for CSO partners in place to deliver programme results. Joint projects are strongly encouraged. </w:t>
      </w:r>
    </w:p>
    <w:p w14:paraId="2556709E" w14:textId="77777777" w:rsidR="00F372A8" w:rsidRPr="00CF4800" w:rsidRDefault="00F372A8" w:rsidP="00F372A8">
      <w:pPr>
        <w:numPr>
          <w:ilvl w:val="0"/>
          <w:numId w:val="4"/>
        </w:numPr>
        <w:spacing w:after="0" w:line="240" w:lineRule="auto"/>
        <w:contextualSpacing/>
        <w:rPr>
          <w:color w:val="000000" w:themeColor="text1"/>
        </w:rPr>
      </w:pPr>
      <w:r w:rsidRPr="00CF4800">
        <w:rPr>
          <w:color w:val="000000" w:themeColor="text1"/>
        </w:rPr>
        <w:t>Complementarity with other Funds and Programmes.</w:t>
      </w:r>
    </w:p>
    <w:p w14:paraId="002B2542" w14:textId="77777777" w:rsidR="00F372A8" w:rsidRPr="00CF4800" w:rsidRDefault="00F372A8" w:rsidP="00F372A8">
      <w:pPr>
        <w:spacing w:after="0"/>
        <w:ind w:firstLine="360"/>
        <w:contextualSpacing/>
        <w:rPr>
          <w:color w:val="000000" w:themeColor="text1"/>
          <w:u w:val="single"/>
        </w:rPr>
      </w:pPr>
    </w:p>
    <w:p w14:paraId="12410FE0" w14:textId="77777777" w:rsidR="00F372A8" w:rsidRPr="00CF4800" w:rsidRDefault="00F372A8" w:rsidP="00F372A8">
      <w:pPr>
        <w:spacing w:after="0"/>
        <w:ind w:firstLine="360"/>
        <w:contextualSpacing/>
        <w:rPr>
          <w:color w:val="000000" w:themeColor="text1"/>
          <w:u w:val="single"/>
        </w:rPr>
      </w:pPr>
      <w:r w:rsidRPr="00CF4800">
        <w:rPr>
          <w:color w:val="000000" w:themeColor="text1"/>
          <w:u w:val="single"/>
        </w:rPr>
        <w:t>Programme management and monitoring</w:t>
      </w:r>
      <w:r w:rsidRPr="00CF4800">
        <w:rPr>
          <w:color w:val="000000" w:themeColor="text1"/>
        </w:rPr>
        <w:t>:</w:t>
      </w:r>
    </w:p>
    <w:p w14:paraId="650AAF02" w14:textId="77777777" w:rsidR="00F372A8" w:rsidRPr="00CF4800" w:rsidRDefault="00F372A8" w:rsidP="00F372A8">
      <w:pPr>
        <w:numPr>
          <w:ilvl w:val="0"/>
          <w:numId w:val="6"/>
        </w:numPr>
        <w:spacing w:after="0" w:line="240" w:lineRule="auto"/>
        <w:contextualSpacing/>
        <w:rPr>
          <w:color w:val="000000" w:themeColor="text1"/>
        </w:rPr>
      </w:pPr>
      <w:r w:rsidRPr="00CF4800">
        <w:rPr>
          <w:color w:val="000000" w:themeColor="text1"/>
        </w:rPr>
        <w:t>Identification of comprehensive risks and appropriate mitigation measures</w:t>
      </w:r>
      <w:r w:rsidRPr="00CF4800" w:rsidDel="00735AFB">
        <w:rPr>
          <w:color w:val="000000" w:themeColor="text1"/>
        </w:rPr>
        <w:t xml:space="preserve"> </w:t>
      </w:r>
    </w:p>
    <w:p w14:paraId="65E8D57E" w14:textId="77777777" w:rsidR="00F372A8" w:rsidRPr="00CF4800" w:rsidRDefault="00F372A8" w:rsidP="00F372A8">
      <w:pPr>
        <w:pStyle w:val="Title"/>
        <w:numPr>
          <w:ilvl w:val="0"/>
          <w:numId w:val="6"/>
        </w:numPr>
        <w:autoSpaceDE w:val="0"/>
        <w:autoSpaceDN w:val="0"/>
        <w:adjustRightInd w:val="0"/>
        <w:contextualSpacing/>
        <w:jc w:val="left"/>
        <w:rPr>
          <w:rFonts w:asciiTheme="minorHAnsi" w:hAnsiTheme="minorHAnsi" w:cstheme="minorHAnsi"/>
          <w:b w:val="0"/>
          <w:bCs/>
          <w:color w:val="000000" w:themeColor="text1"/>
          <w:sz w:val="22"/>
          <w:szCs w:val="16"/>
        </w:rPr>
      </w:pPr>
      <w:r w:rsidRPr="00CF4800">
        <w:rPr>
          <w:rFonts w:ascii="Calibri" w:hAnsi="Calibri"/>
          <w:b w:val="0"/>
          <w:bCs/>
          <w:color w:val="000000" w:themeColor="text1"/>
          <w:sz w:val="22"/>
          <w:szCs w:val="22"/>
        </w:rPr>
        <w:t>Realistic activity schedule and implementation strategy to achieve objectives within the time frame</w:t>
      </w:r>
      <w:r w:rsidRPr="00CF4800">
        <w:rPr>
          <w:rFonts w:ascii="Calibri" w:hAnsi="Calibri"/>
          <w:bCs/>
          <w:color w:val="000000" w:themeColor="text1"/>
          <w:sz w:val="22"/>
          <w:szCs w:val="22"/>
        </w:rPr>
        <w:t xml:space="preserve">. </w:t>
      </w:r>
    </w:p>
    <w:p w14:paraId="30533929" w14:textId="77777777" w:rsidR="00F372A8" w:rsidRPr="00CF4800" w:rsidRDefault="00F372A8" w:rsidP="00F372A8">
      <w:pPr>
        <w:pStyle w:val="Title"/>
        <w:numPr>
          <w:ilvl w:val="0"/>
          <w:numId w:val="6"/>
        </w:numPr>
        <w:autoSpaceDE w:val="0"/>
        <w:autoSpaceDN w:val="0"/>
        <w:adjustRightInd w:val="0"/>
        <w:contextualSpacing/>
        <w:jc w:val="left"/>
        <w:rPr>
          <w:rFonts w:asciiTheme="minorHAnsi" w:hAnsiTheme="minorHAnsi" w:cstheme="minorHAnsi"/>
          <w:b w:val="0"/>
          <w:bCs/>
          <w:color w:val="000000" w:themeColor="text1"/>
          <w:sz w:val="22"/>
          <w:szCs w:val="16"/>
        </w:rPr>
      </w:pPr>
      <w:r w:rsidRPr="00CF4800">
        <w:rPr>
          <w:rFonts w:asciiTheme="minorHAnsi" w:hAnsiTheme="minorHAnsi" w:cstheme="minorHAnsi"/>
          <w:b w:val="0"/>
          <w:bCs/>
          <w:color w:val="000000" w:themeColor="text1"/>
          <w:sz w:val="22"/>
          <w:szCs w:val="16"/>
        </w:rPr>
        <w:t>Identification of relevant and appropriate monitoring and evaluation approaches based on the results framework and indicators</w:t>
      </w:r>
    </w:p>
    <w:p w14:paraId="03C4B370" w14:textId="77777777" w:rsidR="00F372A8" w:rsidRPr="00CF4800" w:rsidRDefault="00F372A8" w:rsidP="00F372A8">
      <w:pPr>
        <w:pStyle w:val="Title"/>
        <w:rPr>
          <w:color w:val="000000" w:themeColor="text1"/>
          <w:u w:val="single"/>
        </w:rPr>
      </w:pPr>
    </w:p>
    <w:p w14:paraId="2C24857D" w14:textId="77777777" w:rsidR="00F372A8" w:rsidRPr="00CF4800" w:rsidRDefault="00F372A8" w:rsidP="00F372A8">
      <w:pPr>
        <w:spacing w:after="0"/>
        <w:ind w:firstLine="360"/>
        <w:contextualSpacing/>
        <w:rPr>
          <w:color w:val="000000" w:themeColor="text1"/>
          <w:u w:val="single"/>
        </w:rPr>
      </w:pPr>
      <w:r w:rsidRPr="00CF4800">
        <w:rPr>
          <w:color w:val="000000" w:themeColor="text1"/>
          <w:u w:val="single"/>
        </w:rPr>
        <w:t>Budget</w:t>
      </w:r>
      <w:r w:rsidRPr="00CF4800">
        <w:rPr>
          <w:color w:val="000000" w:themeColor="text1"/>
        </w:rPr>
        <w:t>:</w:t>
      </w:r>
    </w:p>
    <w:p w14:paraId="1021CFEC" w14:textId="77777777" w:rsidR="00F372A8" w:rsidRPr="00CF4800" w:rsidRDefault="00F372A8" w:rsidP="00F372A8">
      <w:pPr>
        <w:numPr>
          <w:ilvl w:val="0"/>
          <w:numId w:val="5"/>
        </w:numPr>
        <w:autoSpaceDE w:val="0"/>
        <w:autoSpaceDN w:val="0"/>
        <w:adjustRightInd w:val="0"/>
        <w:spacing w:after="0" w:line="240" w:lineRule="auto"/>
        <w:contextualSpacing/>
        <w:rPr>
          <w:color w:val="000000" w:themeColor="text1"/>
        </w:rPr>
      </w:pPr>
      <w:r w:rsidRPr="00CF4800">
        <w:rPr>
          <w:color w:val="000000" w:themeColor="text1"/>
        </w:rPr>
        <w:t>The budget is sufficient and reasonable for the activities proposed and takes the scale of problems into account.</w:t>
      </w:r>
    </w:p>
    <w:p w14:paraId="7C325D75" w14:textId="77777777" w:rsidR="00F372A8" w:rsidRPr="00CF4800" w:rsidRDefault="00F372A8" w:rsidP="00F372A8">
      <w:pPr>
        <w:numPr>
          <w:ilvl w:val="0"/>
          <w:numId w:val="5"/>
        </w:numPr>
        <w:autoSpaceDE w:val="0"/>
        <w:autoSpaceDN w:val="0"/>
        <w:adjustRightInd w:val="0"/>
        <w:spacing w:after="0" w:line="240" w:lineRule="auto"/>
        <w:contextualSpacing/>
        <w:rPr>
          <w:color w:val="000000" w:themeColor="text1"/>
        </w:rPr>
      </w:pPr>
      <w:r w:rsidRPr="00CF4800">
        <w:rPr>
          <w:color w:val="000000" w:themeColor="text1"/>
        </w:rPr>
        <w:t xml:space="preserve">The budget includes indirect operational costs at the allowed level (no more than 7%). </w:t>
      </w:r>
    </w:p>
    <w:p w14:paraId="333851B5" w14:textId="77777777" w:rsidR="00F372A8" w:rsidRPr="00CF4800" w:rsidRDefault="00F372A8" w:rsidP="00F372A8">
      <w:pPr>
        <w:spacing w:before="60" w:after="0" w:line="240" w:lineRule="auto"/>
        <w:contextualSpacing/>
        <w:rPr>
          <w:color w:val="000000" w:themeColor="text1"/>
        </w:rPr>
      </w:pPr>
    </w:p>
    <w:p w14:paraId="12A35E81" w14:textId="77777777" w:rsidR="00F372A8" w:rsidRPr="00CF4800" w:rsidRDefault="00F372A8" w:rsidP="00F372A8">
      <w:pPr>
        <w:spacing w:after="0"/>
        <w:ind w:firstLine="360"/>
        <w:contextualSpacing/>
        <w:rPr>
          <w:color w:val="000000" w:themeColor="text1"/>
          <w:u w:val="single"/>
        </w:rPr>
      </w:pPr>
      <w:r w:rsidRPr="00CF4800">
        <w:rPr>
          <w:color w:val="000000" w:themeColor="text1"/>
          <w:u w:val="single"/>
        </w:rPr>
        <w:t>Sustainability and national ownership</w:t>
      </w:r>
      <w:r w:rsidRPr="00CF4800">
        <w:rPr>
          <w:color w:val="000000" w:themeColor="text1"/>
        </w:rPr>
        <w:t>:</w:t>
      </w:r>
    </w:p>
    <w:p w14:paraId="206D34DC" w14:textId="77777777" w:rsidR="00F372A8" w:rsidRPr="00CF4800" w:rsidRDefault="00F372A8" w:rsidP="00F372A8">
      <w:pPr>
        <w:pStyle w:val="Title"/>
        <w:numPr>
          <w:ilvl w:val="0"/>
          <w:numId w:val="7"/>
        </w:numPr>
        <w:spacing w:before="60"/>
        <w:contextualSpacing/>
        <w:jc w:val="left"/>
        <w:rPr>
          <w:rFonts w:ascii="Calibri" w:hAnsi="Calibri"/>
          <w:b w:val="0"/>
          <w:color w:val="000000" w:themeColor="text1"/>
          <w:sz w:val="22"/>
          <w:szCs w:val="22"/>
        </w:rPr>
      </w:pPr>
      <w:r w:rsidRPr="00CF4800">
        <w:rPr>
          <w:rFonts w:ascii="Calibri" w:hAnsi="Calibri"/>
          <w:b w:val="0"/>
          <w:color w:val="000000" w:themeColor="text1"/>
          <w:sz w:val="22"/>
        </w:rPr>
        <w:t>Promotion of national and local ownership in developing and establishing activities, and specific objectives to build the capacities of national and local players.</w:t>
      </w:r>
    </w:p>
    <w:p w14:paraId="1891A607" w14:textId="4798A987" w:rsidR="00F372A8" w:rsidRDefault="00F372A8" w:rsidP="00F372A8">
      <w:pPr>
        <w:numPr>
          <w:ilvl w:val="0"/>
          <w:numId w:val="7"/>
        </w:numPr>
        <w:autoSpaceDE w:val="0"/>
        <w:autoSpaceDN w:val="0"/>
        <w:adjustRightInd w:val="0"/>
        <w:spacing w:after="0" w:line="240" w:lineRule="auto"/>
        <w:contextualSpacing/>
        <w:rPr>
          <w:color w:val="000000" w:themeColor="text1"/>
        </w:rPr>
      </w:pPr>
      <w:r w:rsidRPr="00CF4800">
        <w:rPr>
          <w:color w:val="000000" w:themeColor="text1"/>
        </w:rPr>
        <w:t xml:space="preserve">Sustainability of the programme beyond the financing period and (where applicable), how to reproduce it and improve it over time. </w:t>
      </w:r>
    </w:p>
    <w:p w14:paraId="46AC6F18" w14:textId="77777777" w:rsidR="008E50F0" w:rsidRPr="00CF4800" w:rsidRDefault="008E50F0" w:rsidP="008E50F0">
      <w:pPr>
        <w:autoSpaceDE w:val="0"/>
        <w:autoSpaceDN w:val="0"/>
        <w:adjustRightInd w:val="0"/>
        <w:spacing w:after="0" w:line="240" w:lineRule="auto"/>
        <w:ind w:left="1080"/>
        <w:contextualSpacing/>
        <w:rPr>
          <w:color w:val="000000" w:themeColor="text1"/>
        </w:rPr>
      </w:pPr>
    </w:p>
    <w:p w14:paraId="16F6B4B4" w14:textId="0FDD6075" w:rsidR="00E73428" w:rsidRPr="00CF4800" w:rsidRDefault="005527F6" w:rsidP="00D95049">
      <w:pPr>
        <w:spacing w:after="0"/>
        <w:rPr>
          <w:b/>
          <w:color w:val="000000" w:themeColor="text1"/>
        </w:rPr>
      </w:pPr>
      <w:r w:rsidRPr="00CF4800">
        <w:rPr>
          <w:b/>
          <w:color w:val="000000" w:themeColor="text1"/>
        </w:rPr>
        <w:t xml:space="preserve">8. </w:t>
      </w:r>
      <w:r w:rsidR="00E73428" w:rsidRPr="00CF4800">
        <w:rPr>
          <w:b/>
          <w:color w:val="000000" w:themeColor="text1"/>
        </w:rPr>
        <w:t>Useful Resources</w:t>
      </w:r>
    </w:p>
    <w:p w14:paraId="5A73621B" w14:textId="6AD529A9" w:rsidR="00B00CA8" w:rsidRPr="00CF4800" w:rsidRDefault="00B00CA8" w:rsidP="000B7AA6">
      <w:pPr>
        <w:spacing w:after="0"/>
        <w:ind w:left="360"/>
        <w:rPr>
          <w:b/>
          <w:color w:val="000000" w:themeColor="text1"/>
        </w:rPr>
      </w:pPr>
    </w:p>
    <w:p w14:paraId="24188897" w14:textId="4CA419C2" w:rsidR="006B1832" w:rsidRPr="00CF4800" w:rsidRDefault="006B1832" w:rsidP="006B1832">
      <w:pPr>
        <w:pStyle w:val="ListParagraph"/>
        <w:numPr>
          <w:ilvl w:val="0"/>
          <w:numId w:val="10"/>
        </w:numPr>
        <w:spacing w:after="0"/>
        <w:rPr>
          <w:rStyle w:val="Hyperlink"/>
          <w:color w:val="000000" w:themeColor="text1"/>
          <w:u w:val="none"/>
        </w:rPr>
      </w:pPr>
      <w:r w:rsidRPr="00CF4800">
        <w:rPr>
          <w:color w:val="000000" w:themeColor="text1"/>
        </w:rPr>
        <w:t xml:space="preserve">The WPHF’s website </w:t>
      </w:r>
      <w:hyperlink r:id="rId10" w:history="1">
        <w:r w:rsidRPr="00CF4800">
          <w:rPr>
            <w:rStyle w:val="Hyperlink"/>
            <w:color w:val="000000" w:themeColor="text1"/>
          </w:rPr>
          <w:t>www.wphfund.org</w:t>
        </w:r>
      </w:hyperlink>
    </w:p>
    <w:p w14:paraId="4E7D15FF" w14:textId="74A120B3" w:rsidR="00881C01" w:rsidRPr="00CF4800" w:rsidRDefault="005F1644" w:rsidP="006B1832">
      <w:pPr>
        <w:pStyle w:val="ListParagraph"/>
        <w:numPr>
          <w:ilvl w:val="0"/>
          <w:numId w:val="10"/>
        </w:numPr>
        <w:spacing w:after="0"/>
        <w:rPr>
          <w:rStyle w:val="Hyperlink"/>
          <w:color w:val="000000" w:themeColor="text1"/>
          <w:u w:val="none"/>
        </w:rPr>
      </w:pPr>
      <w:hyperlink r:id="rId11" w:history="1">
        <w:r w:rsidR="00881C01" w:rsidRPr="00CF4800">
          <w:rPr>
            <w:rStyle w:val="Hyperlink"/>
            <w:color w:val="000000" w:themeColor="text1"/>
          </w:rPr>
          <w:t>Indicator Tip Sheet</w:t>
        </w:r>
        <w:r w:rsidR="00D5131E" w:rsidRPr="00CF4800">
          <w:rPr>
            <w:rStyle w:val="Hyperlink"/>
            <w:color w:val="000000" w:themeColor="text1"/>
          </w:rPr>
          <w:t xml:space="preserve"> for WPHF impact area 3</w:t>
        </w:r>
      </w:hyperlink>
      <w:r w:rsidR="00881C01" w:rsidRPr="00CF4800">
        <w:rPr>
          <w:rStyle w:val="Hyperlink"/>
          <w:color w:val="000000" w:themeColor="text1"/>
        </w:rPr>
        <w:t xml:space="preserve"> </w:t>
      </w:r>
    </w:p>
    <w:p w14:paraId="24A11A85" w14:textId="77777777" w:rsidR="00F372A8" w:rsidRPr="00CF4800" w:rsidRDefault="00F372A8" w:rsidP="00F372A8">
      <w:pPr>
        <w:pStyle w:val="ListParagraph"/>
        <w:numPr>
          <w:ilvl w:val="0"/>
          <w:numId w:val="10"/>
        </w:numPr>
        <w:spacing w:after="0"/>
        <w:rPr>
          <w:color w:val="000000" w:themeColor="text1"/>
        </w:rPr>
      </w:pPr>
      <w:r w:rsidRPr="00CF4800">
        <w:rPr>
          <w:color w:val="000000" w:themeColor="text1"/>
        </w:rPr>
        <w:t xml:space="preserve">The Women’s Peace and Humanitarian Fund’s </w:t>
      </w:r>
      <w:hyperlink r:id="rId12" w:history="1">
        <w:r w:rsidRPr="00CF4800">
          <w:rPr>
            <w:rStyle w:val="Hyperlink"/>
            <w:color w:val="000000" w:themeColor="text1"/>
          </w:rPr>
          <w:t>Operations Manual</w:t>
        </w:r>
      </w:hyperlink>
      <w:r w:rsidRPr="00CF4800">
        <w:rPr>
          <w:color w:val="000000" w:themeColor="text1"/>
        </w:rPr>
        <w:t xml:space="preserve"> </w:t>
      </w:r>
    </w:p>
    <w:p w14:paraId="5383210E" w14:textId="77777777" w:rsidR="00F372A8" w:rsidRPr="00CF4800" w:rsidRDefault="00F372A8" w:rsidP="00F372A8">
      <w:pPr>
        <w:pStyle w:val="ListParagraph"/>
        <w:numPr>
          <w:ilvl w:val="0"/>
          <w:numId w:val="10"/>
        </w:numPr>
        <w:spacing w:after="0"/>
        <w:rPr>
          <w:color w:val="000000" w:themeColor="text1"/>
        </w:rPr>
      </w:pPr>
      <w:r w:rsidRPr="00CF4800">
        <w:rPr>
          <w:color w:val="000000" w:themeColor="text1"/>
        </w:rPr>
        <w:t xml:space="preserve">The  WPHF’s page on the Multi-Partner Trust Fund Office’s Gateway: </w:t>
      </w:r>
      <w:hyperlink r:id="rId13" w:history="1">
        <w:r w:rsidRPr="00CF4800">
          <w:rPr>
            <w:rStyle w:val="Hyperlink"/>
            <w:color w:val="000000" w:themeColor="text1"/>
          </w:rPr>
          <w:t>http://mptf.undp.org/factsheet/fund/GAI00</w:t>
        </w:r>
      </w:hyperlink>
    </w:p>
    <w:p w14:paraId="6897ED86" w14:textId="77777777" w:rsidR="00F372A8" w:rsidRPr="00CF4800" w:rsidRDefault="00F372A8" w:rsidP="00F372A8">
      <w:pPr>
        <w:pStyle w:val="ListParagraph"/>
        <w:numPr>
          <w:ilvl w:val="0"/>
          <w:numId w:val="10"/>
        </w:numPr>
        <w:spacing w:after="0"/>
        <w:rPr>
          <w:color w:val="000000" w:themeColor="text1"/>
        </w:rPr>
      </w:pPr>
      <w:r w:rsidRPr="00CF4800">
        <w:rPr>
          <w:color w:val="000000" w:themeColor="text1"/>
        </w:rPr>
        <w:t xml:space="preserve">The WPHF’s Twitter account: </w:t>
      </w:r>
      <w:hyperlink r:id="rId14" w:history="1">
        <w:r w:rsidRPr="00CF4800">
          <w:rPr>
            <w:rStyle w:val="Hyperlink"/>
            <w:color w:val="000000" w:themeColor="text1"/>
          </w:rPr>
          <w:t>@wphfund</w:t>
        </w:r>
      </w:hyperlink>
    </w:p>
    <w:p w14:paraId="27802CE9" w14:textId="77777777" w:rsidR="00F372A8" w:rsidRPr="00CF4800" w:rsidRDefault="00F372A8" w:rsidP="00F372A8">
      <w:pPr>
        <w:pStyle w:val="ListParagraph"/>
        <w:numPr>
          <w:ilvl w:val="0"/>
          <w:numId w:val="10"/>
        </w:numPr>
        <w:spacing w:after="0"/>
        <w:rPr>
          <w:color w:val="000000" w:themeColor="text1"/>
        </w:rPr>
      </w:pPr>
      <w:r w:rsidRPr="00CF4800">
        <w:rPr>
          <w:color w:val="000000" w:themeColor="text1"/>
        </w:rPr>
        <w:t xml:space="preserve">M&amp;E and Results Based Management Terms. The OECD/DAC Glossary of Key Terms in Evaluation available in English, </w:t>
      </w:r>
      <w:proofErr w:type="gramStart"/>
      <w:r w:rsidRPr="00CF4800">
        <w:rPr>
          <w:color w:val="000000" w:themeColor="text1"/>
        </w:rPr>
        <w:t>French</w:t>
      </w:r>
      <w:proofErr w:type="gramEnd"/>
      <w:r w:rsidRPr="00CF4800">
        <w:rPr>
          <w:color w:val="000000" w:themeColor="text1"/>
        </w:rPr>
        <w:t xml:space="preserve"> and Spanish. </w:t>
      </w:r>
      <w:hyperlink r:id="rId15" w:history="1">
        <w:r w:rsidRPr="00CF4800">
          <w:rPr>
            <w:rStyle w:val="Hyperlink"/>
            <w:color w:val="000000" w:themeColor="text1"/>
          </w:rPr>
          <w:t>http://www.oecd.org/dataoecd/29/21/2754804.pdf</w:t>
        </w:r>
      </w:hyperlink>
    </w:p>
    <w:p w14:paraId="7B47AA74" w14:textId="77777777" w:rsidR="00F372A8" w:rsidRPr="00CF4800" w:rsidRDefault="00F372A8" w:rsidP="00F372A8">
      <w:pPr>
        <w:pStyle w:val="ListParagraph"/>
        <w:numPr>
          <w:ilvl w:val="0"/>
          <w:numId w:val="10"/>
        </w:numPr>
        <w:spacing w:after="0"/>
        <w:rPr>
          <w:color w:val="000000" w:themeColor="text1"/>
        </w:rPr>
      </w:pPr>
      <w:r w:rsidRPr="00CF4800">
        <w:rPr>
          <w:color w:val="000000" w:themeColor="text1"/>
        </w:rPr>
        <w:t xml:space="preserve">M&amp;E Standards and Guidelines. The United Nations Evaluation Group (UNEG) Standards for Evaluations, available in English, French, Spanish, Arabic and Russian </w:t>
      </w:r>
      <w:hyperlink r:id="rId16" w:history="1">
        <w:r w:rsidRPr="00CF4800">
          <w:rPr>
            <w:rStyle w:val="Hyperlink"/>
            <w:color w:val="000000" w:themeColor="text1"/>
          </w:rPr>
          <w:t>http://www.uneval.org/papersandpubs/documentdetail.jsp?doc_id=22</w:t>
        </w:r>
      </w:hyperlink>
    </w:p>
    <w:p w14:paraId="1A39183A" w14:textId="77777777" w:rsidR="00D618C5" w:rsidRPr="00CF4800" w:rsidRDefault="00D618C5" w:rsidP="000B7AA6">
      <w:pPr>
        <w:pStyle w:val="ListParagraph"/>
        <w:spacing w:after="0"/>
        <w:ind w:left="1440"/>
        <w:rPr>
          <w:vanish/>
          <w:color w:val="000000" w:themeColor="text1"/>
          <w:specVanish/>
        </w:rPr>
      </w:pPr>
    </w:p>
    <w:p w14:paraId="57CD4558" w14:textId="5960DA00" w:rsidR="001253D5" w:rsidRPr="00CF4800" w:rsidRDefault="00D618C5" w:rsidP="001A60B2">
      <w:pPr>
        <w:spacing w:after="0"/>
        <w:rPr>
          <w:b/>
          <w:color w:val="000000" w:themeColor="text1"/>
          <w:sz w:val="28"/>
          <w:szCs w:val="28"/>
        </w:rPr>
      </w:pPr>
      <w:r w:rsidRPr="00CF4800">
        <w:rPr>
          <w:b/>
          <w:color w:val="000000" w:themeColor="text1"/>
          <w:sz w:val="28"/>
          <w:szCs w:val="28"/>
        </w:rPr>
        <w:t xml:space="preserve"> </w:t>
      </w:r>
    </w:p>
    <w:p w14:paraId="78E43D41" w14:textId="13B252E9" w:rsidR="00632081" w:rsidRPr="00CF4800" w:rsidRDefault="00632081" w:rsidP="00801418">
      <w:pPr>
        <w:rPr>
          <w:rFonts w:eastAsia="Times New Roman" w:cs="Arial"/>
          <w:color w:val="000000" w:themeColor="text1"/>
          <w:lang w:val="en-CA"/>
        </w:rPr>
      </w:pPr>
    </w:p>
    <w:sectPr w:rsidR="00632081" w:rsidRPr="00CF4800" w:rsidSect="001A60B2">
      <w:headerReference w:type="default" r:id="rId17"/>
      <w:footerReference w:type="default" r:id="rId18"/>
      <w:pgSz w:w="12240" w:h="15840"/>
      <w:pgMar w:top="1792"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FA8C" w14:textId="77777777" w:rsidR="00531896" w:rsidRDefault="00531896" w:rsidP="00081D3D">
      <w:pPr>
        <w:spacing w:after="0" w:line="240" w:lineRule="auto"/>
      </w:pPr>
      <w:r>
        <w:separator/>
      </w:r>
    </w:p>
  </w:endnote>
  <w:endnote w:type="continuationSeparator" w:id="0">
    <w:p w14:paraId="5F26934A" w14:textId="77777777" w:rsidR="00531896" w:rsidRDefault="00531896" w:rsidP="0008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f_segoe-ui_norma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14194"/>
      <w:docPartObj>
        <w:docPartGallery w:val="Page Numbers (Bottom of Page)"/>
        <w:docPartUnique/>
      </w:docPartObj>
    </w:sdtPr>
    <w:sdtEndPr>
      <w:rPr>
        <w:noProof/>
      </w:rPr>
    </w:sdtEndPr>
    <w:sdtContent>
      <w:p w14:paraId="50BE4EA3" w14:textId="26C9EFFE" w:rsidR="00093336" w:rsidRDefault="00093336">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07B30FA" w14:textId="77777777" w:rsidR="00093336" w:rsidRDefault="0009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9E68" w14:textId="77777777" w:rsidR="00531896" w:rsidRDefault="00531896" w:rsidP="00081D3D">
      <w:pPr>
        <w:spacing w:after="0" w:line="240" w:lineRule="auto"/>
      </w:pPr>
      <w:r>
        <w:separator/>
      </w:r>
    </w:p>
  </w:footnote>
  <w:footnote w:type="continuationSeparator" w:id="0">
    <w:p w14:paraId="12A4CC80" w14:textId="77777777" w:rsidR="00531896" w:rsidRDefault="00531896" w:rsidP="00081D3D">
      <w:pPr>
        <w:spacing w:after="0" w:line="240" w:lineRule="auto"/>
      </w:pPr>
      <w:r>
        <w:continuationSeparator/>
      </w:r>
    </w:p>
  </w:footnote>
  <w:footnote w:id="1">
    <w:p w14:paraId="59ED531A" w14:textId="40740BC8" w:rsidR="007779C7" w:rsidRPr="00807149" w:rsidRDefault="007779C7">
      <w:pPr>
        <w:pStyle w:val="FootnoteText"/>
        <w:rPr>
          <w:lang w:val="en-US"/>
        </w:rPr>
      </w:pPr>
      <w:r>
        <w:rPr>
          <w:rStyle w:val="FootnoteReference"/>
        </w:rPr>
        <w:footnoteRef/>
      </w:r>
      <w:r>
        <w:t xml:space="preserve"> </w:t>
      </w:r>
      <w:hyperlink r:id="rId1" w:history="1">
        <w:r w:rsidRPr="00F140CA">
          <w:rPr>
            <w:rStyle w:val="Hyperlink"/>
          </w:rPr>
          <w:t>https://www.adb.org/sites/default/files/publication/415601/economic-fiscal-impacts-disasters-pacific.pdf</w:t>
        </w:r>
      </w:hyperlink>
      <w:r>
        <w:t xml:space="preserve"> </w:t>
      </w:r>
    </w:p>
  </w:footnote>
  <w:footnote w:id="2">
    <w:p w14:paraId="5A62107D" w14:textId="63F49D6E" w:rsidR="00933D29" w:rsidRPr="00AC7CE4" w:rsidRDefault="00933D29">
      <w:pPr>
        <w:pStyle w:val="FootnoteText"/>
        <w:rPr>
          <w:lang w:val="en-US"/>
        </w:rPr>
      </w:pPr>
      <w:r>
        <w:rPr>
          <w:rStyle w:val="FootnoteReference"/>
        </w:rPr>
        <w:footnoteRef/>
      </w:r>
      <w:r>
        <w:t xml:space="preserve"> </w:t>
      </w:r>
      <w:hyperlink r:id="rId2" w:history="1">
        <w:r w:rsidRPr="00F140CA">
          <w:rPr>
            <w:rStyle w:val="Hyperlink"/>
          </w:rPr>
          <w:t>https://library.wmo.int/doc_num.php?explnum_id=10106</w:t>
        </w:r>
      </w:hyperlink>
      <w:r>
        <w:t xml:space="preserve"> </w:t>
      </w:r>
    </w:p>
  </w:footnote>
  <w:footnote w:id="3">
    <w:p w14:paraId="4BD55E22" w14:textId="0B877EF1" w:rsidR="00243DFD" w:rsidRPr="00AC7CE4" w:rsidRDefault="00243DFD">
      <w:pPr>
        <w:pStyle w:val="FootnoteText"/>
        <w:rPr>
          <w:lang w:val="en-US"/>
        </w:rPr>
      </w:pPr>
      <w:r>
        <w:rPr>
          <w:rStyle w:val="FootnoteReference"/>
        </w:rPr>
        <w:footnoteRef/>
      </w:r>
      <w:r>
        <w:t xml:space="preserve"> </w:t>
      </w:r>
      <w:r w:rsidRPr="00243DFD">
        <w:t>https://reliefweb.int/report/fiji/across-pacific-crisis-centres-respond-covid-19-amid-natural-disasters</w:t>
      </w:r>
    </w:p>
  </w:footnote>
  <w:footnote w:id="4">
    <w:p w14:paraId="6794DC57" w14:textId="0AF344D8" w:rsidR="00807149" w:rsidRPr="00807149" w:rsidRDefault="00807149">
      <w:pPr>
        <w:pStyle w:val="FootnoteText"/>
        <w:rPr>
          <w:lang w:val="en-US"/>
        </w:rPr>
      </w:pPr>
      <w:r>
        <w:rPr>
          <w:rStyle w:val="FootnoteReference"/>
        </w:rPr>
        <w:footnoteRef/>
      </w:r>
      <w:r>
        <w:t xml:space="preserve"> </w:t>
      </w:r>
      <w:r w:rsidRPr="00807149">
        <w:t>https://reliefweb.int/sites/reliefweb.int/files/resources/WorldRiskReport-2019_Online_english.pdf</w:t>
      </w:r>
    </w:p>
  </w:footnote>
  <w:footnote w:id="5">
    <w:p w14:paraId="455363E9" w14:textId="2B6FB261" w:rsidR="00243DFD" w:rsidRPr="006D1319" w:rsidRDefault="00243DFD">
      <w:pPr>
        <w:pStyle w:val="FootnoteText"/>
        <w:rPr>
          <w:sz w:val="18"/>
          <w:szCs w:val="18"/>
          <w:lang w:val="en-US"/>
        </w:rPr>
      </w:pPr>
      <w:r w:rsidRPr="006D1319">
        <w:rPr>
          <w:rStyle w:val="FootnoteReference"/>
          <w:sz w:val="18"/>
          <w:szCs w:val="18"/>
        </w:rPr>
        <w:footnoteRef/>
      </w:r>
      <w:r w:rsidRPr="006D1319">
        <w:rPr>
          <w:sz w:val="18"/>
          <w:szCs w:val="18"/>
        </w:rPr>
        <w:t xml:space="preserve"> https://pacificwomen.org/wp-content/uploads/2017/09/FWCC-National-Research-on-Womens-Health-Fiji.pdf</w:t>
      </w:r>
    </w:p>
  </w:footnote>
  <w:footnote w:id="6">
    <w:p w14:paraId="615086C7" w14:textId="564D29F7" w:rsidR="00243DFD" w:rsidRPr="006D1319" w:rsidRDefault="00243DFD">
      <w:pPr>
        <w:pStyle w:val="FootnoteText"/>
        <w:rPr>
          <w:sz w:val="18"/>
          <w:szCs w:val="18"/>
          <w:lang w:val="en-US"/>
        </w:rPr>
      </w:pPr>
      <w:r w:rsidRPr="006D1319">
        <w:rPr>
          <w:rStyle w:val="FootnoteReference"/>
          <w:sz w:val="18"/>
          <w:szCs w:val="18"/>
        </w:rPr>
        <w:footnoteRef/>
      </w:r>
      <w:r w:rsidRPr="006D1319">
        <w:rPr>
          <w:sz w:val="18"/>
          <w:szCs w:val="18"/>
        </w:rPr>
        <w:t xml:space="preserve"> https://reliefweb.int/sites/reliefweb.int/files/resources/WorldRiskReport-2019_Online_english.pdf</w:t>
      </w:r>
    </w:p>
  </w:footnote>
  <w:footnote w:id="7">
    <w:p w14:paraId="35695B62" w14:textId="38C7B8F8" w:rsidR="00243DFD" w:rsidRPr="006D1319" w:rsidRDefault="00243DFD">
      <w:pPr>
        <w:pStyle w:val="FootnoteText"/>
        <w:rPr>
          <w:sz w:val="18"/>
          <w:szCs w:val="18"/>
          <w:lang w:val="en-US"/>
        </w:rPr>
      </w:pPr>
      <w:r w:rsidRPr="006D1319">
        <w:rPr>
          <w:rStyle w:val="FootnoteReference"/>
          <w:sz w:val="18"/>
          <w:szCs w:val="18"/>
        </w:rPr>
        <w:footnoteRef/>
      </w:r>
      <w:r w:rsidRPr="006D1319">
        <w:rPr>
          <w:sz w:val="18"/>
          <w:szCs w:val="18"/>
        </w:rPr>
        <w:t xml:space="preserve"> https://pacific.unfpa.org/sites/default/files/pub-pdf/SolomonIslandsFamilyHealthandSafetyStudy.pdf</w:t>
      </w:r>
    </w:p>
  </w:footnote>
  <w:footnote w:id="8">
    <w:p w14:paraId="34B51CB1" w14:textId="7C67675A" w:rsidR="00243DFD" w:rsidRPr="006D1319" w:rsidRDefault="00243DFD">
      <w:pPr>
        <w:pStyle w:val="FootnoteText"/>
        <w:rPr>
          <w:sz w:val="18"/>
          <w:szCs w:val="18"/>
          <w:lang w:val="en-US"/>
        </w:rPr>
      </w:pPr>
      <w:r w:rsidRPr="006D1319">
        <w:rPr>
          <w:rStyle w:val="FootnoteReference"/>
          <w:sz w:val="18"/>
          <w:szCs w:val="18"/>
        </w:rPr>
        <w:footnoteRef/>
      </w:r>
      <w:r w:rsidRPr="006D1319">
        <w:rPr>
          <w:sz w:val="18"/>
          <w:szCs w:val="18"/>
        </w:rPr>
        <w:t xml:space="preserve"> </w:t>
      </w:r>
      <w:r w:rsidR="004F2534" w:rsidRPr="006D1319">
        <w:rPr>
          <w:sz w:val="18"/>
          <w:szCs w:val="18"/>
        </w:rPr>
        <w:t>https://www.dfat.gov.au/sites/default/files/post-disaster-needs-assessment-cyclone-pam.pdf</w:t>
      </w:r>
    </w:p>
  </w:footnote>
  <w:footnote w:id="9">
    <w:p w14:paraId="4B3A2AF6" w14:textId="0BF462C7" w:rsidR="004F2534" w:rsidRPr="00AC7CE4" w:rsidRDefault="004F2534">
      <w:pPr>
        <w:pStyle w:val="FootnoteText"/>
        <w:rPr>
          <w:lang w:val="en-US"/>
        </w:rPr>
      </w:pPr>
      <w:r w:rsidRPr="006D1319">
        <w:rPr>
          <w:rStyle w:val="FootnoteReference"/>
          <w:sz w:val="18"/>
          <w:szCs w:val="18"/>
        </w:rPr>
        <w:footnoteRef/>
      </w:r>
      <w:r w:rsidRPr="006D1319">
        <w:rPr>
          <w:sz w:val="18"/>
          <w:szCs w:val="18"/>
        </w:rPr>
        <w:t xml:space="preserve"> </w:t>
      </w:r>
      <w:hyperlink r:id="rId3" w:anchor=":~:text=In%20Vanuatu%2C%20Tropical%20Cyclone%20Harold,flooding%20and%20destruction%20of%20roads" w:history="1">
        <w:r w:rsidRPr="006D1319">
          <w:rPr>
            <w:rStyle w:val="Hyperlink"/>
            <w:sz w:val="18"/>
            <w:szCs w:val="18"/>
          </w:rPr>
          <w:t>http://www.fao.org/resilience/resources/resources-detail/en/c/1274007/#:~:text=In%20Vanuatu%2C%20Tropical%20Cyclone%20Harold,flooding%20and%20destruction%20of%20roads</w:t>
        </w:r>
      </w:hyperlink>
      <w:r w:rsidRPr="006D1319">
        <w:rPr>
          <w:sz w:val="18"/>
          <w:szCs w:val="18"/>
        </w:rPr>
        <w:t xml:space="preserve">. </w:t>
      </w:r>
    </w:p>
  </w:footnote>
  <w:footnote w:id="10">
    <w:p w14:paraId="78C43631" w14:textId="2A2A1840" w:rsidR="004F2534" w:rsidRPr="00AC7CE4" w:rsidRDefault="004F2534">
      <w:pPr>
        <w:pStyle w:val="FootnoteText"/>
        <w:rPr>
          <w:lang w:val="en-US"/>
        </w:rPr>
      </w:pPr>
      <w:r>
        <w:rPr>
          <w:rStyle w:val="FootnoteReference"/>
        </w:rPr>
        <w:footnoteRef/>
      </w:r>
      <w:r>
        <w:t xml:space="preserve"> </w:t>
      </w:r>
      <w:r w:rsidRPr="004F2534">
        <w:t>https://relifweb.int/sites/reliefweb.int/files/resources/WorldRiskReport-2019_Online_english.pdf</w:t>
      </w:r>
    </w:p>
  </w:footnote>
  <w:footnote w:id="11">
    <w:p w14:paraId="6EBF85F8" w14:textId="04B000FA" w:rsidR="004F2534" w:rsidRPr="00DD7653" w:rsidRDefault="004F2534">
      <w:pPr>
        <w:pStyle w:val="FootnoteText"/>
        <w:rPr>
          <w:lang w:val="en-US"/>
        </w:rPr>
      </w:pPr>
      <w:r>
        <w:rPr>
          <w:rStyle w:val="FootnoteReference"/>
        </w:rPr>
        <w:footnoteRef/>
      </w:r>
      <w:r>
        <w:t xml:space="preserve"> </w:t>
      </w:r>
      <w:r w:rsidRPr="004F2534">
        <w:t>https://reliefweb.int/report/vanuatu/issue-brief-new-vulnerability-covid-19-and-tropical-cyclone-harold-create-perfect</w:t>
      </w:r>
    </w:p>
  </w:footnote>
  <w:footnote w:id="12">
    <w:p w14:paraId="6D9F7C8A" w14:textId="5928B805" w:rsidR="004F2534" w:rsidRPr="00DD7653" w:rsidRDefault="004F2534">
      <w:pPr>
        <w:pStyle w:val="FootnoteText"/>
        <w:rPr>
          <w:lang w:val="en-US"/>
        </w:rPr>
      </w:pPr>
      <w:r>
        <w:rPr>
          <w:rStyle w:val="FootnoteReference"/>
        </w:rPr>
        <w:footnoteRef/>
      </w:r>
      <w:r>
        <w:t xml:space="preserve"> </w:t>
      </w:r>
      <w:r w:rsidRPr="004F2534">
        <w:t>https://core.ac.uk/download/pdf/211322128.pdf</w:t>
      </w:r>
    </w:p>
  </w:footnote>
  <w:footnote w:id="13">
    <w:p w14:paraId="0AA558AA" w14:textId="77777777" w:rsidR="003E06B2" w:rsidRPr="004B6294" w:rsidRDefault="003E06B2" w:rsidP="003E06B2">
      <w:pPr>
        <w:pStyle w:val="FootnoteText"/>
        <w:rPr>
          <w:lang w:val="en-CA"/>
        </w:rPr>
      </w:pPr>
      <w:r w:rsidRPr="004B6294">
        <w:rPr>
          <w:rStyle w:val="FootnoteReference"/>
          <w:lang w:val="en-CA"/>
        </w:rPr>
        <w:footnoteRef/>
      </w:r>
      <w:r w:rsidRPr="004B6294">
        <w:rPr>
          <w:lang w:val="en-CA"/>
        </w:rPr>
        <w:t xml:space="preserve"> Only if registered at the national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20C" w14:textId="432A2103" w:rsidR="00093336" w:rsidRDefault="1D80B791" w:rsidP="00424263">
    <w:pPr>
      <w:pStyle w:val="Header"/>
      <w:jc w:val="center"/>
    </w:pPr>
    <w:r>
      <w:rPr>
        <w:noProof/>
      </w:rPr>
      <w:drawing>
        <wp:inline distT="0" distB="0" distL="0" distR="0" wp14:anchorId="4241564B" wp14:editId="6F9364D8">
          <wp:extent cx="2501900" cy="555977"/>
          <wp:effectExtent l="0" t="0" r="0" b="0"/>
          <wp:docPr id="9" name="Picture 9" descr="C:\Users\rullom\AppData\Local\Microsoft\Windows\INetCache\Content.Word\wphf.logo.color.subtitle.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501900" cy="555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340F"/>
    <w:multiLevelType w:val="hybridMultilevel"/>
    <w:tmpl w:val="9288D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D46719"/>
    <w:multiLevelType w:val="hybridMultilevel"/>
    <w:tmpl w:val="89E2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A108A"/>
    <w:multiLevelType w:val="hybridMultilevel"/>
    <w:tmpl w:val="D1008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276F9"/>
    <w:multiLevelType w:val="hybridMultilevel"/>
    <w:tmpl w:val="01A43F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539317C"/>
    <w:multiLevelType w:val="hybridMultilevel"/>
    <w:tmpl w:val="443C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C4B77"/>
    <w:multiLevelType w:val="hybridMultilevel"/>
    <w:tmpl w:val="557CF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9E6D92"/>
    <w:multiLevelType w:val="hybridMultilevel"/>
    <w:tmpl w:val="2F66B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5836D9"/>
    <w:multiLevelType w:val="hybridMultilevel"/>
    <w:tmpl w:val="D92C302E"/>
    <w:lvl w:ilvl="0" w:tplc="FFFFFFFF">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853C0"/>
    <w:multiLevelType w:val="hybridMultilevel"/>
    <w:tmpl w:val="5098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D3F7A"/>
    <w:multiLevelType w:val="hybridMultilevel"/>
    <w:tmpl w:val="E2800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0C5243"/>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93F2F"/>
    <w:multiLevelType w:val="hybridMultilevel"/>
    <w:tmpl w:val="7268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332FC"/>
    <w:multiLevelType w:val="hybridMultilevel"/>
    <w:tmpl w:val="4A32E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9A30F0"/>
    <w:multiLevelType w:val="hybridMultilevel"/>
    <w:tmpl w:val="4E3476D0"/>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257897"/>
    <w:multiLevelType w:val="hybridMultilevel"/>
    <w:tmpl w:val="1E46A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E87EC1"/>
    <w:multiLevelType w:val="hybridMultilevel"/>
    <w:tmpl w:val="89E2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861C0"/>
    <w:multiLevelType w:val="hybridMultilevel"/>
    <w:tmpl w:val="B9882C46"/>
    <w:lvl w:ilvl="0" w:tplc="503A52DA">
      <w:start w:val="1"/>
      <w:numFmt w:val="bullet"/>
      <w:lvlText w:val=""/>
      <w:lvlJc w:val="left"/>
      <w:pPr>
        <w:tabs>
          <w:tab w:val="num" w:pos="720"/>
        </w:tabs>
        <w:ind w:left="720" w:hanging="360"/>
      </w:pPr>
      <w:rPr>
        <w:rFonts w:ascii="Symbol" w:hAnsi="Symbol" w:hint="default"/>
        <w:sz w:val="20"/>
      </w:rPr>
    </w:lvl>
    <w:lvl w:ilvl="1" w:tplc="E4AE6B52" w:tentative="1">
      <w:start w:val="1"/>
      <w:numFmt w:val="bullet"/>
      <w:lvlText w:val="o"/>
      <w:lvlJc w:val="left"/>
      <w:pPr>
        <w:tabs>
          <w:tab w:val="num" w:pos="1440"/>
        </w:tabs>
        <w:ind w:left="1440" w:hanging="360"/>
      </w:pPr>
      <w:rPr>
        <w:rFonts w:ascii="Courier New" w:hAnsi="Courier New" w:hint="default"/>
        <w:sz w:val="20"/>
      </w:rPr>
    </w:lvl>
    <w:lvl w:ilvl="2" w:tplc="C26AF72E" w:tentative="1">
      <w:start w:val="1"/>
      <w:numFmt w:val="bullet"/>
      <w:lvlText w:val=""/>
      <w:lvlJc w:val="left"/>
      <w:pPr>
        <w:tabs>
          <w:tab w:val="num" w:pos="2160"/>
        </w:tabs>
        <w:ind w:left="2160" w:hanging="360"/>
      </w:pPr>
      <w:rPr>
        <w:rFonts w:ascii="Wingdings" w:hAnsi="Wingdings" w:hint="default"/>
        <w:sz w:val="20"/>
      </w:rPr>
    </w:lvl>
    <w:lvl w:ilvl="3" w:tplc="40EAB46E" w:tentative="1">
      <w:start w:val="1"/>
      <w:numFmt w:val="bullet"/>
      <w:lvlText w:val=""/>
      <w:lvlJc w:val="left"/>
      <w:pPr>
        <w:tabs>
          <w:tab w:val="num" w:pos="2880"/>
        </w:tabs>
        <w:ind w:left="2880" w:hanging="360"/>
      </w:pPr>
      <w:rPr>
        <w:rFonts w:ascii="Wingdings" w:hAnsi="Wingdings" w:hint="default"/>
        <w:sz w:val="20"/>
      </w:rPr>
    </w:lvl>
    <w:lvl w:ilvl="4" w:tplc="701C5896" w:tentative="1">
      <w:start w:val="1"/>
      <w:numFmt w:val="bullet"/>
      <w:lvlText w:val=""/>
      <w:lvlJc w:val="left"/>
      <w:pPr>
        <w:tabs>
          <w:tab w:val="num" w:pos="3600"/>
        </w:tabs>
        <w:ind w:left="3600" w:hanging="360"/>
      </w:pPr>
      <w:rPr>
        <w:rFonts w:ascii="Wingdings" w:hAnsi="Wingdings" w:hint="default"/>
        <w:sz w:val="20"/>
      </w:rPr>
    </w:lvl>
    <w:lvl w:ilvl="5" w:tplc="DFC07048" w:tentative="1">
      <w:start w:val="1"/>
      <w:numFmt w:val="bullet"/>
      <w:lvlText w:val=""/>
      <w:lvlJc w:val="left"/>
      <w:pPr>
        <w:tabs>
          <w:tab w:val="num" w:pos="4320"/>
        </w:tabs>
        <w:ind w:left="4320" w:hanging="360"/>
      </w:pPr>
      <w:rPr>
        <w:rFonts w:ascii="Wingdings" w:hAnsi="Wingdings" w:hint="default"/>
        <w:sz w:val="20"/>
      </w:rPr>
    </w:lvl>
    <w:lvl w:ilvl="6" w:tplc="E2D461CA" w:tentative="1">
      <w:start w:val="1"/>
      <w:numFmt w:val="bullet"/>
      <w:lvlText w:val=""/>
      <w:lvlJc w:val="left"/>
      <w:pPr>
        <w:tabs>
          <w:tab w:val="num" w:pos="5040"/>
        </w:tabs>
        <w:ind w:left="5040" w:hanging="360"/>
      </w:pPr>
      <w:rPr>
        <w:rFonts w:ascii="Wingdings" w:hAnsi="Wingdings" w:hint="default"/>
        <w:sz w:val="20"/>
      </w:rPr>
    </w:lvl>
    <w:lvl w:ilvl="7" w:tplc="19F0859C" w:tentative="1">
      <w:start w:val="1"/>
      <w:numFmt w:val="bullet"/>
      <w:lvlText w:val=""/>
      <w:lvlJc w:val="left"/>
      <w:pPr>
        <w:tabs>
          <w:tab w:val="num" w:pos="5760"/>
        </w:tabs>
        <w:ind w:left="5760" w:hanging="360"/>
      </w:pPr>
      <w:rPr>
        <w:rFonts w:ascii="Wingdings" w:hAnsi="Wingdings" w:hint="default"/>
        <w:sz w:val="20"/>
      </w:rPr>
    </w:lvl>
    <w:lvl w:ilvl="8" w:tplc="10A62CB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3738"/>
    <w:multiLevelType w:val="hybridMultilevel"/>
    <w:tmpl w:val="5EC65FBA"/>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E313DF"/>
    <w:multiLevelType w:val="hybridMultilevel"/>
    <w:tmpl w:val="131455AC"/>
    <w:lvl w:ilvl="0" w:tplc="D3C240B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97966"/>
    <w:multiLevelType w:val="hybridMultilevel"/>
    <w:tmpl w:val="3BD4B9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13D679A"/>
    <w:multiLevelType w:val="hybridMultilevel"/>
    <w:tmpl w:val="20BA0A1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6C0AC0"/>
    <w:multiLevelType w:val="hybridMultilevel"/>
    <w:tmpl w:val="24345A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4004E44"/>
    <w:multiLevelType w:val="hybridMultilevel"/>
    <w:tmpl w:val="7D2CA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4D090D"/>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10B9F"/>
    <w:multiLevelType w:val="hybridMultilevel"/>
    <w:tmpl w:val="032AD34E"/>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4574F0"/>
    <w:multiLevelType w:val="hybridMultilevel"/>
    <w:tmpl w:val="C1B6F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02400"/>
    <w:multiLevelType w:val="hybridMultilevel"/>
    <w:tmpl w:val="210076F0"/>
    <w:lvl w:ilvl="0" w:tplc="D3C240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40744"/>
    <w:multiLevelType w:val="hybridMultilevel"/>
    <w:tmpl w:val="CE901504"/>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1DF7463"/>
    <w:multiLevelType w:val="hybridMultilevel"/>
    <w:tmpl w:val="7D3E26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F563F"/>
    <w:multiLevelType w:val="hybridMultilevel"/>
    <w:tmpl w:val="FCD41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53A53"/>
    <w:multiLevelType w:val="hybridMultilevel"/>
    <w:tmpl w:val="830253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E3357F"/>
    <w:multiLevelType w:val="hybridMultilevel"/>
    <w:tmpl w:val="09C64D26"/>
    <w:lvl w:ilvl="0" w:tplc="B67684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D5735B4"/>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BE0AED"/>
    <w:multiLevelType w:val="hybridMultilevel"/>
    <w:tmpl w:val="CB726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
  </w:num>
  <w:num w:numId="3">
    <w:abstractNumId w:val="30"/>
  </w:num>
  <w:num w:numId="4">
    <w:abstractNumId w:val="17"/>
  </w:num>
  <w:num w:numId="5">
    <w:abstractNumId w:val="27"/>
  </w:num>
  <w:num w:numId="6">
    <w:abstractNumId w:val="24"/>
  </w:num>
  <w:num w:numId="7">
    <w:abstractNumId w:val="13"/>
  </w:num>
  <w:num w:numId="8">
    <w:abstractNumId w:val="14"/>
  </w:num>
  <w:num w:numId="9">
    <w:abstractNumId w:val="16"/>
  </w:num>
  <w:num w:numId="10">
    <w:abstractNumId w:val="33"/>
  </w:num>
  <w:num w:numId="11">
    <w:abstractNumId w:val="9"/>
  </w:num>
  <w:num w:numId="12">
    <w:abstractNumId w:val="12"/>
  </w:num>
  <w:num w:numId="13">
    <w:abstractNumId w:val="7"/>
  </w:num>
  <w:num w:numId="14">
    <w:abstractNumId w:val="31"/>
  </w:num>
  <w:num w:numId="15">
    <w:abstractNumId w:val="2"/>
  </w:num>
  <w:num w:numId="16">
    <w:abstractNumId w:val="4"/>
  </w:num>
  <w:num w:numId="17">
    <w:abstractNumId w:val="15"/>
  </w:num>
  <w:num w:numId="18">
    <w:abstractNumId w:val="23"/>
  </w:num>
  <w:num w:numId="19">
    <w:abstractNumId w:val="32"/>
  </w:num>
  <w:num w:numId="20">
    <w:abstractNumId w:val="25"/>
  </w:num>
  <w:num w:numId="21">
    <w:abstractNumId w:val="28"/>
  </w:num>
  <w:num w:numId="22">
    <w:abstractNumId w:val="10"/>
  </w:num>
  <w:num w:numId="23">
    <w:abstractNumId w:val="34"/>
  </w:num>
  <w:num w:numId="24">
    <w:abstractNumId w:val="3"/>
  </w:num>
  <w:num w:numId="25">
    <w:abstractNumId w:val="5"/>
  </w:num>
  <w:num w:numId="26">
    <w:abstractNumId w:val="26"/>
  </w:num>
  <w:num w:numId="27">
    <w:abstractNumId w:val="18"/>
  </w:num>
  <w:num w:numId="28">
    <w:abstractNumId w:val="20"/>
  </w:num>
  <w:num w:numId="29">
    <w:abstractNumId w:val="19"/>
  </w:num>
  <w:num w:numId="30">
    <w:abstractNumId w:val="0"/>
  </w:num>
  <w:num w:numId="31">
    <w:abstractNumId w:val="11"/>
  </w:num>
  <w:num w:numId="32">
    <w:abstractNumId w:val="22"/>
  </w:num>
  <w:num w:numId="33">
    <w:abstractNumId w:val="21"/>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B4"/>
    <w:rsid w:val="00007E09"/>
    <w:rsid w:val="0001380B"/>
    <w:rsid w:val="00015FB3"/>
    <w:rsid w:val="0001651F"/>
    <w:rsid w:val="000203B1"/>
    <w:rsid w:val="000275E6"/>
    <w:rsid w:val="00027BA5"/>
    <w:rsid w:val="000349F4"/>
    <w:rsid w:val="00035D86"/>
    <w:rsid w:val="0005439A"/>
    <w:rsid w:val="00054BA7"/>
    <w:rsid w:val="000565CF"/>
    <w:rsid w:val="00071653"/>
    <w:rsid w:val="00073C89"/>
    <w:rsid w:val="0007434D"/>
    <w:rsid w:val="0007509D"/>
    <w:rsid w:val="00081D3D"/>
    <w:rsid w:val="0008353D"/>
    <w:rsid w:val="00093336"/>
    <w:rsid w:val="000A10B5"/>
    <w:rsid w:val="000A2075"/>
    <w:rsid w:val="000B1243"/>
    <w:rsid w:val="000B227C"/>
    <w:rsid w:val="000B7AA6"/>
    <w:rsid w:val="000B7DB9"/>
    <w:rsid w:val="000D44B4"/>
    <w:rsid w:val="000D77C9"/>
    <w:rsid w:val="000E1778"/>
    <w:rsid w:val="000E358F"/>
    <w:rsid w:val="000E5E59"/>
    <w:rsid w:val="000E7CCF"/>
    <w:rsid w:val="000F4AAD"/>
    <w:rsid w:val="00101D73"/>
    <w:rsid w:val="00103BE0"/>
    <w:rsid w:val="00106D28"/>
    <w:rsid w:val="00120607"/>
    <w:rsid w:val="001253D5"/>
    <w:rsid w:val="00125E43"/>
    <w:rsid w:val="001268AF"/>
    <w:rsid w:val="00142972"/>
    <w:rsid w:val="00146F8B"/>
    <w:rsid w:val="00147C4D"/>
    <w:rsid w:val="00151945"/>
    <w:rsid w:val="001524B8"/>
    <w:rsid w:val="00174052"/>
    <w:rsid w:val="001806BB"/>
    <w:rsid w:val="001841DE"/>
    <w:rsid w:val="001A4D67"/>
    <w:rsid w:val="001A60B2"/>
    <w:rsid w:val="001B08B5"/>
    <w:rsid w:val="001B20F1"/>
    <w:rsid w:val="001B51A8"/>
    <w:rsid w:val="001C3E0F"/>
    <w:rsid w:val="001C73D0"/>
    <w:rsid w:val="001F0F3B"/>
    <w:rsid w:val="001F29CA"/>
    <w:rsid w:val="001F4F31"/>
    <w:rsid w:val="002161DF"/>
    <w:rsid w:val="00220DCB"/>
    <w:rsid w:val="0022244C"/>
    <w:rsid w:val="00243DFD"/>
    <w:rsid w:val="0024403A"/>
    <w:rsid w:val="00260D29"/>
    <w:rsid w:val="002636F1"/>
    <w:rsid w:val="002809DD"/>
    <w:rsid w:val="00284994"/>
    <w:rsid w:val="00284D24"/>
    <w:rsid w:val="0029003E"/>
    <w:rsid w:val="002A0B20"/>
    <w:rsid w:val="002A1CC5"/>
    <w:rsid w:val="002B0418"/>
    <w:rsid w:val="002B0F04"/>
    <w:rsid w:val="002B3614"/>
    <w:rsid w:val="002B6396"/>
    <w:rsid w:val="002D1EF9"/>
    <w:rsid w:val="002D49A4"/>
    <w:rsid w:val="002E3834"/>
    <w:rsid w:val="002E6F01"/>
    <w:rsid w:val="002E75AD"/>
    <w:rsid w:val="002F1AE7"/>
    <w:rsid w:val="002F2FBB"/>
    <w:rsid w:val="00306EEB"/>
    <w:rsid w:val="00311C49"/>
    <w:rsid w:val="00327604"/>
    <w:rsid w:val="00335278"/>
    <w:rsid w:val="00351F39"/>
    <w:rsid w:val="003600B1"/>
    <w:rsid w:val="0036571C"/>
    <w:rsid w:val="00372423"/>
    <w:rsid w:val="003727EB"/>
    <w:rsid w:val="00381AA3"/>
    <w:rsid w:val="00383C07"/>
    <w:rsid w:val="003913D3"/>
    <w:rsid w:val="003936C5"/>
    <w:rsid w:val="00397E69"/>
    <w:rsid w:val="003A20AF"/>
    <w:rsid w:val="003B16ED"/>
    <w:rsid w:val="003D4AF8"/>
    <w:rsid w:val="003D5758"/>
    <w:rsid w:val="003D6D15"/>
    <w:rsid w:val="003E06B2"/>
    <w:rsid w:val="003E106B"/>
    <w:rsid w:val="003E1C36"/>
    <w:rsid w:val="003F05E6"/>
    <w:rsid w:val="003F121A"/>
    <w:rsid w:val="003F39CD"/>
    <w:rsid w:val="003F6C25"/>
    <w:rsid w:val="003F7EE5"/>
    <w:rsid w:val="004001E6"/>
    <w:rsid w:val="00404590"/>
    <w:rsid w:val="00404743"/>
    <w:rsid w:val="004057AB"/>
    <w:rsid w:val="004128F0"/>
    <w:rsid w:val="00413D80"/>
    <w:rsid w:val="00424263"/>
    <w:rsid w:val="004245FF"/>
    <w:rsid w:val="00424B26"/>
    <w:rsid w:val="00431426"/>
    <w:rsid w:val="00433728"/>
    <w:rsid w:val="00434F65"/>
    <w:rsid w:val="00447F63"/>
    <w:rsid w:val="00456F70"/>
    <w:rsid w:val="00473813"/>
    <w:rsid w:val="004758C7"/>
    <w:rsid w:val="00481F9A"/>
    <w:rsid w:val="00483853"/>
    <w:rsid w:val="0048590B"/>
    <w:rsid w:val="004A0BE5"/>
    <w:rsid w:val="004A4DED"/>
    <w:rsid w:val="004A50CD"/>
    <w:rsid w:val="004A5E0D"/>
    <w:rsid w:val="004B4E06"/>
    <w:rsid w:val="004B5A8D"/>
    <w:rsid w:val="004B6B86"/>
    <w:rsid w:val="004B7609"/>
    <w:rsid w:val="004C31F2"/>
    <w:rsid w:val="004D16A8"/>
    <w:rsid w:val="004D5041"/>
    <w:rsid w:val="004D5280"/>
    <w:rsid w:val="004D54C4"/>
    <w:rsid w:val="004E5A87"/>
    <w:rsid w:val="004F0BC3"/>
    <w:rsid w:val="004F2534"/>
    <w:rsid w:val="005001AC"/>
    <w:rsid w:val="00501742"/>
    <w:rsid w:val="00526317"/>
    <w:rsid w:val="00526474"/>
    <w:rsid w:val="00531896"/>
    <w:rsid w:val="00537365"/>
    <w:rsid w:val="00537371"/>
    <w:rsid w:val="005475B7"/>
    <w:rsid w:val="00552679"/>
    <w:rsid w:val="005527F6"/>
    <w:rsid w:val="00555CF0"/>
    <w:rsid w:val="0055684B"/>
    <w:rsid w:val="005658D0"/>
    <w:rsid w:val="00566F4B"/>
    <w:rsid w:val="00570464"/>
    <w:rsid w:val="00595D50"/>
    <w:rsid w:val="005A0242"/>
    <w:rsid w:val="005C1DF7"/>
    <w:rsid w:val="005D5230"/>
    <w:rsid w:val="005D668C"/>
    <w:rsid w:val="005E35D5"/>
    <w:rsid w:val="005E5323"/>
    <w:rsid w:val="005E532F"/>
    <w:rsid w:val="005E6311"/>
    <w:rsid w:val="005F1644"/>
    <w:rsid w:val="005F5AFC"/>
    <w:rsid w:val="0060064C"/>
    <w:rsid w:val="00602A04"/>
    <w:rsid w:val="006046D6"/>
    <w:rsid w:val="0061352B"/>
    <w:rsid w:val="00620110"/>
    <w:rsid w:val="006246F4"/>
    <w:rsid w:val="00631FE0"/>
    <w:rsid w:val="00632081"/>
    <w:rsid w:val="0063721F"/>
    <w:rsid w:val="00647094"/>
    <w:rsid w:val="006479E5"/>
    <w:rsid w:val="00647D75"/>
    <w:rsid w:val="006520C8"/>
    <w:rsid w:val="00655B08"/>
    <w:rsid w:val="00664426"/>
    <w:rsid w:val="006676BD"/>
    <w:rsid w:val="00677E09"/>
    <w:rsid w:val="00682B85"/>
    <w:rsid w:val="0068443F"/>
    <w:rsid w:val="006862FC"/>
    <w:rsid w:val="00686690"/>
    <w:rsid w:val="006870EA"/>
    <w:rsid w:val="00691038"/>
    <w:rsid w:val="006932D6"/>
    <w:rsid w:val="006971A0"/>
    <w:rsid w:val="006A2FC3"/>
    <w:rsid w:val="006A3D97"/>
    <w:rsid w:val="006A5502"/>
    <w:rsid w:val="006A57F7"/>
    <w:rsid w:val="006B1832"/>
    <w:rsid w:val="006B54C9"/>
    <w:rsid w:val="006B6A5B"/>
    <w:rsid w:val="006D1319"/>
    <w:rsid w:val="006E34A3"/>
    <w:rsid w:val="006E3C19"/>
    <w:rsid w:val="006E5846"/>
    <w:rsid w:val="0071089C"/>
    <w:rsid w:val="00711622"/>
    <w:rsid w:val="0071732C"/>
    <w:rsid w:val="00717841"/>
    <w:rsid w:val="007205A1"/>
    <w:rsid w:val="0072271A"/>
    <w:rsid w:val="00723FA0"/>
    <w:rsid w:val="00735AFB"/>
    <w:rsid w:val="00735FEE"/>
    <w:rsid w:val="00736516"/>
    <w:rsid w:val="007377CF"/>
    <w:rsid w:val="00764858"/>
    <w:rsid w:val="00765A30"/>
    <w:rsid w:val="007737B7"/>
    <w:rsid w:val="007779C7"/>
    <w:rsid w:val="007807F0"/>
    <w:rsid w:val="00781DBD"/>
    <w:rsid w:val="00797F45"/>
    <w:rsid w:val="007A4E8B"/>
    <w:rsid w:val="007A6581"/>
    <w:rsid w:val="007B0D6C"/>
    <w:rsid w:val="007B5E1A"/>
    <w:rsid w:val="007C120C"/>
    <w:rsid w:val="007C1729"/>
    <w:rsid w:val="007C5301"/>
    <w:rsid w:val="007D199F"/>
    <w:rsid w:val="007E438A"/>
    <w:rsid w:val="007E59BB"/>
    <w:rsid w:val="007E7012"/>
    <w:rsid w:val="00801418"/>
    <w:rsid w:val="00801461"/>
    <w:rsid w:val="00802D5F"/>
    <w:rsid w:val="00807038"/>
    <w:rsid w:val="00807149"/>
    <w:rsid w:val="00831FD7"/>
    <w:rsid w:val="00833EA1"/>
    <w:rsid w:val="008342C8"/>
    <w:rsid w:val="00836318"/>
    <w:rsid w:val="0084524B"/>
    <w:rsid w:val="00851F37"/>
    <w:rsid w:val="00853BDD"/>
    <w:rsid w:val="00853C4D"/>
    <w:rsid w:val="00870829"/>
    <w:rsid w:val="00871D12"/>
    <w:rsid w:val="0087311C"/>
    <w:rsid w:val="00876B13"/>
    <w:rsid w:val="00881C01"/>
    <w:rsid w:val="008823A6"/>
    <w:rsid w:val="008936D2"/>
    <w:rsid w:val="008958A0"/>
    <w:rsid w:val="00896B39"/>
    <w:rsid w:val="008A05AB"/>
    <w:rsid w:val="008B0A76"/>
    <w:rsid w:val="008B67B7"/>
    <w:rsid w:val="008C0463"/>
    <w:rsid w:val="008C11DD"/>
    <w:rsid w:val="008C5944"/>
    <w:rsid w:val="008E214B"/>
    <w:rsid w:val="008E50F0"/>
    <w:rsid w:val="00902F8D"/>
    <w:rsid w:val="00911C51"/>
    <w:rsid w:val="009225E3"/>
    <w:rsid w:val="00932E5A"/>
    <w:rsid w:val="00933D29"/>
    <w:rsid w:val="00954B04"/>
    <w:rsid w:val="00957B35"/>
    <w:rsid w:val="0096042C"/>
    <w:rsid w:val="00964AD0"/>
    <w:rsid w:val="00974D74"/>
    <w:rsid w:val="0098664C"/>
    <w:rsid w:val="0099066B"/>
    <w:rsid w:val="009A73DE"/>
    <w:rsid w:val="009A7D8D"/>
    <w:rsid w:val="009B08B8"/>
    <w:rsid w:val="009B2C9D"/>
    <w:rsid w:val="009C018C"/>
    <w:rsid w:val="009C2889"/>
    <w:rsid w:val="009D2F41"/>
    <w:rsid w:val="009E0835"/>
    <w:rsid w:val="009F04AD"/>
    <w:rsid w:val="009F6D66"/>
    <w:rsid w:val="00A07E2E"/>
    <w:rsid w:val="00A20A47"/>
    <w:rsid w:val="00A244F2"/>
    <w:rsid w:val="00A3618A"/>
    <w:rsid w:val="00A374AF"/>
    <w:rsid w:val="00A40983"/>
    <w:rsid w:val="00A41068"/>
    <w:rsid w:val="00A4229F"/>
    <w:rsid w:val="00A443ED"/>
    <w:rsid w:val="00A62AAE"/>
    <w:rsid w:val="00A74246"/>
    <w:rsid w:val="00A76D8C"/>
    <w:rsid w:val="00A94AC4"/>
    <w:rsid w:val="00AA00E3"/>
    <w:rsid w:val="00AB1D4F"/>
    <w:rsid w:val="00AB4033"/>
    <w:rsid w:val="00AC7CE4"/>
    <w:rsid w:val="00AD4576"/>
    <w:rsid w:val="00B00CA8"/>
    <w:rsid w:val="00B10D74"/>
    <w:rsid w:val="00B130D5"/>
    <w:rsid w:val="00B13497"/>
    <w:rsid w:val="00B13D50"/>
    <w:rsid w:val="00B15D1D"/>
    <w:rsid w:val="00B17333"/>
    <w:rsid w:val="00B233FC"/>
    <w:rsid w:val="00B23DF8"/>
    <w:rsid w:val="00B40070"/>
    <w:rsid w:val="00B47DDF"/>
    <w:rsid w:val="00B60F53"/>
    <w:rsid w:val="00B60FC3"/>
    <w:rsid w:val="00B648C6"/>
    <w:rsid w:val="00B700CE"/>
    <w:rsid w:val="00B80E57"/>
    <w:rsid w:val="00B8552D"/>
    <w:rsid w:val="00B900E8"/>
    <w:rsid w:val="00B935AB"/>
    <w:rsid w:val="00BA6C90"/>
    <w:rsid w:val="00BB509D"/>
    <w:rsid w:val="00BC040F"/>
    <w:rsid w:val="00BC19AD"/>
    <w:rsid w:val="00BD0265"/>
    <w:rsid w:val="00BE112A"/>
    <w:rsid w:val="00BF0A51"/>
    <w:rsid w:val="00C13A5B"/>
    <w:rsid w:val="00C149B9"/>
    <w:rsid w:val="00C17632"/>
    <w:rsid w:val="00C24DEE"/>
    <w:rsid w:val="00C36E67"/>
    <w:rsid w:val="00C51D6A"/>
    <w:rsid w:val="00C674DE"/>
    <w:rsid w:val="00C74719"/>
    <w:rsid w:val="00C85A2F"/>
    <w:rsid w:val="00C86A53"/>
    <w:rsid w:val="00C9024A"/>
    <w:rsid w:val="00C9106E"/>
    <w:rsid w:val="00C9371B"/>
    <w:rsid w:val="00C951A2"/>
    <w:rsid w:val="00C9548A"/>
    <w:rsid w:val="00CA4C32"/>
    <w:rsid w:val="00CA67A6"/>
    <w:rsid w:val="00CC3B2C"/>
    <w:rsid w:val="00CE1C70"/>
    <w:rsid w:val="00CE6BCC"/>
    <w:rsid w:val="00CF0C3B"/>
    <w:rsid w:val="00CF4800"/>
    <w:rsid w:val="00CF6325"/>
    <w:rsid w:val="00D00970"/>
    <w:rsid w:val="00D03CB3"/>
    <w:rsid w:val="00D220CF"/>
    <w:rsid w:val="00D255B7"/>
    <w:rsid w:val="00D30333"/>
    <w:rsid w:val="00D310E0"/>
    <w:rsid w:val="00D336C3"/>
    <w:rsid w:val="00D3576F"/>
    <w:rsid w:val="00D4064F"/>
    <w:rsid w:val="00D50D95"/>
    <w:rsid w:val="00D5131E"/>
    <w:rsid w:val="00D5530D"/>
    <w:rsid w:val="00D618C5"/>
    <w:rsid w:val="00D86AF7"/>
    <w:rsid w:val="00D91938"/>
    <w:rsid w:val="00D95049"/>
    <w:rsid w:val="00DA721F"/>
    <w:rsid w:val="00DB7E71"/>
    <w:rsid w:val="00DC061D"/>
    <w:rsid w:val="00DC1BB4"/>
    <w:rsid w:val="00DC2D21"/>
    <w:rsid w:val="00DD2720"/>
    <w:rsid w:val="00DD7653"/>
    <w:rsid w:val="00DE26A7"/>
    <w:rsid w:val="00DE27B2"/>
    <w:rsid w:val="00DE4327"/>
    <w:rsid w:val="00DE4BA6"/>
    <w:rsid w:val="00DE4E2F"/>
    <w:rsid w:val="00DF0425"/>
    <w:rsid w:val="00DF1E39"/>
    <w:rsid w:val="00E010E5"/>
    <w:rsid w:val="00E03C25"/>
    <w:rsid w:val="00E07CD1"/>
    <w:rsid w:val="00E15398"/>
    <w:rsid w:val="00E16007"/>
    <w:rsid w:val="00E17B9B"/>
    <w:rsid w:val="00E2375F"/>
    <w:rsid w:val="00E30F95"/>
    <w:rsid w:val="00E32977"/>
    <w:rsid w:val="00E4104B"/>
    <w:rsid w:val="00E4390E"/>
    <w:rsid w:val="00E43D57"/>
    <w:rsid w:val="00E45D86"/>
    <w:rsid w:val="00E55137"/>
    <w:rsid w:val="00E55996"/>
    <w:rsid w:val="00E56D45"/>
    <w:rsid w:val="00E632C4"/>
    <w:rsid w:val="00E72F28"/>
    <w:rsid w:val="00E73428"/>
    <w:rsid w:val="00E7692B"/>
    <w:rsid w:val="00EB5A55"/>
    <w:rsid w:val="00EB658F"/>
    <w:rsid w:val="00EC4960"/>
    <w:rsid w:val="00EC4AAD"/>
    <w:rsid w:val="00ED4A91"/>
    <w:rsid w:val="00EE1C70"/>
    <w:rsid w:val="00EE3BB9"/>
    <w:rsid w:val="00EE5136"/>
    <w:rsid w:val="00EF1BA8"/>
    <w:rsid w:val="00EF2560"/>
    <w:rsid w:val="00EF2ADF"/>
    <w:rsid w:val="00EF6616"/>
    <w:rsid w:val="00F05E08"/>
    <w:rsid w:val="00F2078A"/>
    <w:rsid w:val="00F240B9"/>
    <w:rsid w:val="00F3097C"/>
    <w:rsid w:val="00F372A8"/>
    <w:rsid w:val="00F51974"/>
    <w:rsid w:val="00F56F5C"/>
    <w:rsid w:val="00F6717E"/>
    <w:rsid w:val="00F72AA6"/>
    <w:rsid w:val="00F73034"/>
    <w:rsid w:val="00F731F5"/>
    <w:rsid w:val="00F73A50"/>
    <w:rsid w:val="00F757A7"/>
    <w:rsid w:val="00F757D4"/>
    <w:rsid w:val="00F81634"/>
    <w:rsid w:val="00F84445"/>
    <w:rsid w:val="00F97566"/>
    <w:rsid w:val="00FD1501"/>
    <w:rsid w:val="00FD39B4"/>
    <w:rsid w:val="00FD434D"/>
    <w:rsid w:val="0846B9A8"/>
    <w:rsid w:val="12F79C39"/>
    <w:rsid w:val="14A9769D"/>
    <w:rsid w:val="1D80B791"/>
    <w:rsid w:val="1F7455F0"/>
    <w:rsid w:val="21969284"/>
    <w:rsid w:val="2533E9F0"/>
    <w:rsid w:val="25D0AE4C"/>
    <w:rsid w:val="272F1CAE"/>
    <w:rsid w:val="2F615B2F"/>
    <w:rsid w:val="40093E4A"/>
    <w:rsid w:val="4C24833E"/>
    <w:rsid w:val="4EBB7361"/>
    <w:rsid w:val="5D236210"/>
    <w:rsid w:val="614964D8"/>
    <w:rsid w:val="671A7A82"/>
    <w:rsid w:val="6D696BEB"/>
    <w:rsid w:val="722D1DA4"/>
    <w:rsid w:val="75613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DEFB"/>
  <w15:chartTrackingRefBased/>
  <w15:docId w15:val="{C3D166FF-A478-4FBA-82CF-C4D8BB71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0D44B4"/>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081D3D"/>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081D3D"/>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081D3D"/>
    <w:rPr>
      <w:vertAlign w:val="superscript"/>
      <w:lang w:val="en-GB" w:eastAsia="en-GB"/>
    </w:rPr>
  </w:style>
  <w:style w:type="paragraph" w:customStyle="1" w:styleId="Char2">
    <w:name w:val="Char2"/>
    <w:basedOn w:val="Normal"/>
    <w:link w:val="FootnoteReference"/>
    <w:rsid w:val="00081D3D"/>
    <w:pPr>
      <w:spacing w:line="240" w:lineRule="exact"/>
    </w:pPr>
    <w:rPr>
      <w:vertAlign w:val="superscript"/>
      <w:lang w:val="en-GB" w:eastAsia="en-GB"/>
    </w:rPr>
  </w:style>
  <w:style w:type="character" w:styleId="CommentReference">
    <w:name w:val="annotation reference"/>
    <w:basedOn w:val="DefaultParagraphFont"/>
    <w:uiPriority w:val="99"/>
    <w:semiHidden/>
    <w:unhideWhenUsed/>
    <w:rsid w:val="00F731F5"/>
    <w:rPr>
      <w:sz w:val="16"/>
      <w:szCs w:val="16"/>
    </w:rPr>
  </w:style>
  <w:style w:type="paragraph" w:styleId="CommentText">
    <w:name w:val="annotation text"/>
    <w:basedOn w:val="Normal"/>
    <w:link w:val="CommentTextChar"/>
    <w:uiPriority w:val="99"/>
    <w:unhideWhenUsed/>
    <w:rsid w:val="00F731F5"/>
    <w:pPr>
      <w:spacing w:line="240" w:lineRule="auto"/>
    </w:pPr>
    <w:rPr>
      <w:sz w:val="20"/>
      <w:szCs w:val="20"/>
    </w:rPr>
  </w:style>
  <w:style w:type="character" w:customStyle="1" w:styleId="CommentTextChar">
    <w:name w:val="Comment Text Char"/>
    <w:basedOn w:val="DefaultParagraphFont"/>
    <w:link w:val="CommentText"/>
    <w:uiPriority w:val="99"/>
    <w:rsid w:val="00F731F5"/>
    <w:rPr>
      <w:sz w:val="20"/>
      <w:szCs w:val="20"/>
    </w:rPr>
  </w:style>
  <w:style w:type="paragraph" w:styleId="CommentSubject">
    <w:name w:val="annotation subject"/>
    <w:basedOn w:val="CommentText"/>
    <w:next w:val="CommentText"/>
    <w:link w:val="CommentSubjectChar"/>
    <w:uiPriority w:val="99"/>
    <w:semiHidden/>
    <w:unhideWhenUsed/>
    <w:rsid w:val="00F731F5"/>
    <w:rPr>
      <w:b/>
      <w:bCs/>
    </w:rPr>
  </w:style>
  <w:style w:type="character" w:customStyle="1" w:styleId="CommentSubjectChar">
    <w:name w:val="Comment Subject Char"/>
    <w:basedOn w:val="CommentTextChar"/>
    <w:link w:val="CommentSubject"/>
    <w:uiPriority w:val="99"/>
    <w:semiHidden/>
    <w:rsid w:val="00F731F5"/>
    <w:rPr>
      <w:b/>
      <w:bCs/>
      <w:sz w:val="20"/>
      <w:szCs w:val="20"/>
    </w:rPr>
  </w:style>
  <w:style w:type="paragraph" w:styleId="BalloonText">
    <w:name w:val="Balloon Text"/>
    <w:basedOn w:val="Normal"/>
    <w:link w:val="BalloonTextChar"/>
    <w:uiPriority w:val="99"/>
    <w:semiHidden/>
    <w:unhideWhenUsed/>
    <w:rsid w:val="00F73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1F5"/>
    <w:rPr>
      <w:rFonts w:ascii="Segoe UI" w:hAnsi="Segoe UI" w:cs="Segoe UI"/>
      <w:sz w:val="18"/>
      <w:szCs w:val="18"/>
    </w:rPr>
  </w:style>
  <w:style w:type="paragraph" w:styleId="Title">
    <w:name w:val="Title"/>
    <w:basedOn w:val="Normal"/>
    <w:link w:val="TitleChar"/>
    <w:uiPriority w:val="10"/>
    <w:qFormat/>
    <w:rsid w:val="005A0242"/>
    <w:pPr>
      <w:spacing w:after="0" w:line="240" w:lineRule="auto"/>
      <w:jc w:val="center"/>
    </w:pPr>
    <w:rPr>
      <w:rFonts w:ascii="Arial" w:eastAsia="Times New Roman" w:hAnsi="Arial" w:cs="Times New Roman"/>
      <w:b/>
      <w:sz w:val="28"/>
      <w:szCs w:val="20"/>
      <w:lang w:val="en-GB" w:eastAsia="en-GB"/>
    </w:rPr>
  </w:style>
  <w:style w:type="character" w:customStyle="1" w:styleId="TitleChar">
    <w:name w:val="Title Char"/>
    <w:basedOn w:val="DefaultParagraphFont"/>
    <w:link w:val="Title"/>
    <w:uiPriority w:val="10"/>
    <w:rsid w:val="005A0242"/>
    <w:rPr>
      <w:rFonts w:ascii="Arial" w:eastAsia="Times New Roman" w:hAnsi="Arial" w:cs="Times New Roman"/>
      <w:b/>
      <w:sz w:val="28"/>
      <w:szCs w:val="20"/>
      <w:lang w:val="en-GB" w:eastAsia="en-GB"/>
    </w:rPr>
  </w:style>
  <w:style w:type="paragraph" w:customStyle="1" w:styleId="BVIfnrChar">
    <w:name w:val="BVI fnr Char"/>
    <w:aliases w:val="BVI fnr Car Car Char,BVI fnr Char Car Car Car Char,BVI fnr Char Car Car Car Char Char,BVI fnr Car Char,BVI fnr Car Car Car Car Char,BVI fnr Char Char Char,BVI fnr Car Car Char Char Char"/>
    <w:basedOn w:val="Normal"/>
    <w:rsid w:val="00125E43"/>
    <w:pPr>
      <w:spacing w:line="240" w:lineRule="exact"/>
    </w:pPr>
    <w:rPr>
      <w:rFonts w:ascii="Calibri" w:eastAsia="Times New Roman" w:hAnsi="Calibri" w:cs="Times New Roman"/>
      <w:sz w:val="20"/>
      <w:szCs w:val="20"/>
      <w:vertAlign w:val="superscript"/>
      <w:lang w:val="x-none" w:eastAsia="x-none"/>
    </w:rPr>
  </w:style>
  <w:style w:type="character" w:styleId="Hyperlink">
    <w:name w:val="Hyperlink"/>
    <w:basedOn w:val="DefaultParagraphFont"/>
    <w:uiPriority w:val="99"/>
    <w:unhideWhenUsed/>
    <w:rsid w:val="00FD39B4"/>
    <w:rPr>
      <w:color w:val="0563C1" w:themeColor="hyperlink"/>
      <w:u w:val="single"/>
    </w:rPr>
  </w:style>
  <w:style w:type="paragraph" w:styleId="NormalWeb">
    <w:name w:val="Normal (Web)"/>
    <w:basedOn w:val="Normal"/>
    <w:uiPriority w:val="99"/>
    <w:unhideWhenUsed/>
    <w:rsid w:val="000716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7692B"/>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E7692B"/>
    <w:rPr>
      <w:rFonts w:ascii="Calibri" w:eastAsia="MS Mincho" w:hAnsi="Calibri" w:cs="Times New Roman"/>
      <w:lang w:val="en-GB" w:eastAsia="en-GB"/>
    </w:rPr>
  </w:style>
  <w:style w:type="paragraph" w:customStyle="1" w:styleId="ColorfulList-Accent11">
    <w:name w:val="Colorful List - Accent 11"/>
    <w:basedOn w:val="Normal"/>
    <w:uiPriority w:val="99"/>
    <w:rsid w:val="00E7692B"/>
    <w:pPr>
      <w:widowControl w:val="0"/>
      <w:spacing w:after="0" w:line="240" w:lineRule="auto"/>
      <w:ind w:left="720"/>
      <w:jc w:val="both"/>
    </w:pPr>
    <w:rPr>
      <w:rFonts w:ascii="Arial" w:eastAsia="Times New Roman" w:hAnsi="Arial" w:cs="Times New Roman"/>
      <w:szCs w:val="20"/>
      <w:lang w:val="en-GB" w:eastAsia="en-GB"/>
    </w:rPr>
  </w:style>
  <w:style w:type="paragraph" w:styleId="Footer">
    <w:name w:val="footer"/>
    <w:basedOn w:val="Normal"/>
    <w:link w:val="FooterChar"/>
    <w:uiPriority w:val="99"/>
    <w:unhideWhenUsed/>
    <w:rsid w:val="00BC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0F"/>
  </w:style>
  <w:style w:type="paragraph" w:styleId="Revision">
    <w:name w:val="Revision"/>
    <w:hidden/>
    <w:uiPriority w:val="99"/>
    <w:semiHidden/>
    <w:rsid w:val="00566F4B"/>
    <w:pPr>
      <w:spacing w:after="0" w:line="240" w:lineRule="auto"/>
    </w:pPr>
  </w:style>
  <w:style w:type="table" w:styleId="TableGrid">
    <w:name w:val="Table Grid"/>
    <w:basedOn w:val="TableNormal"/>
    <w:uiPriority w:val="39"/>
    <w:rsid w:val="007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5280"/>
    <w:rPr>
      <w:color w:val="605E5C"/>
      <w:shd w:val="clear" w:color="auto" w:fill="E1DFDD"/>
    </w:rPr>
  </w:style>
  <w:style w:type="paragraph" w:styleId="NoSpacing">
    <w:name w:val="No Spacing"/>
    <w:uiPriority w:val="1"/>
    <w:qFormat/>
    <w:rsid w:val="0060064C"/>
    <w:pPr>
      <w:spacing w:after="0" w:line="240" w:lineRule="auto"/>
    </w:p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306EEB"/>
  </w:style>
  <w:style w:type="character" w:customStyle="1" w:styleId="normaltextrun">
    <w:name w:val="normaltextrun"/>
    <w:basedOn w:val="DefaultParagraphFont"/>
    <w:rsid w:val="005F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5157">
      <w:bodyDiv w:val="1"/>
      <w:marLeft w:val="0"/>
      <w:marRight w:val="0"/>
      <w:marTop w:val="0"/>
      <w:marBottom w:val="0"/>
      <w:divBdr>
        <w:top w:val="none" w:sz="0" w:space="0" w:color="auto"/>
        <w:left w:val="none" w:sz="0" w:space="0" w:color="auto"/>
        <w:bottom w:val="none" w:sz="0" w:space="0" w:color="auto"/>
        <w:right w:val="none" w:sz="0" w:space="0" w:color="auto"/>
      </w:divBdr>
      <w:divsChild>
        <w:div w:id="92089174">
          <w:marLeft w:val="0"/>
          <w:marRight w:val="0"/>
          <w:marTop w:val="0"/>
          <w:marBottom w:val="0"/>
          <w:divBdr>
            <w:top w:val="none" w:sz="0" w:space="0" w:color="auto"/>
            <w:left w:val="none" w:sz="0" w:space="0" w:color="auto"/>
            <w:bottom w:val="none" w:sz="0" w:space="0" w:color="auto"/>
            <w:right w:val="none" w:sz="0" w:space="0" w:color="auto"/>
          </w:divBdr>
        </w:div>
      </w:divsChild>
    </w:div>
    <w:div w:id="1023752775">
      <w:bodyDiv w:val="1"/>
      <w:marLeft w:val="0"/>
      <w:marRight w:val="0"/>
      <w:marTop w:val="0"/>
      <w:marBottom w:val="0"/>
      <w:divBdr>
        <w:top w:val="none" w:sz="0" w:space="0" w:color="auto"/>
        <w:left w:val="none" w:sz="0" w:space="0" w:color="auto"/>
        <w:bottom w:val="none" w:sz="0" w:space="0" w:color="auto"/>
        <w:right w:val="none" w:sz="0" w:space="0" w:color="auto"/>
      </w:divBdr>
    </w:div>
    <w:div w:id="1051610475">
      <w:bodyDiv w:val="1"/>
      <w:marLeft w:val="0"/>
      <w:marRight w:val="0"/>
      <w:marTop w:val="0"/>
      <w:marBottom w:val="0"/>
      <w:divBdr>
        <w:top w:val="none" w:sz="0" w:space="0" w:color="auto"/>
        <w:left w:val="none" w:sz="0" w:space="0" w:color="auto"/>
        <w:bottom w:val="none" w:sz="0" w:space="0" w:color="auto"/>
        <w:right w:val="none" w:sz="0" w:space="0" w:color="auto"/>
      </w:divBdr>
      <w:divsChild>
        <w:div w:id="1806042814">
          <w:marLeft w:val="0"/>
          <w:marRight w:val="0"/>
          <w:marTop w:val="0"/>
          <w:marBottom w:val="0"/>
          <w:divBdr>
            <w:top w:val="none" w:sz="0" w:space="0" w:color="auto"/>
            <w:left w:val="none" w:sz="0" w:space="0" w:color="auto"/>
            <w:bottom w:val="none" w:sz="0" w:space="0" w:color="auto"/>
            <w:right w:val="none" w:sz="0" w:space="0" w:color="auto"/>
          </w:divBdr>
          <w:divsChild>
            <w:div w:id="686906531">
              <w:marLeft w:val="0"/>
              <w:marRight w:val="0"/>
              <w:marTop w:val="0"/>
              <w:marBottom w:val="0"/>
              <w:divBdr>
                <w:top w:val="none" w:sz="0" w:space="0" w:color="auto"/>
                <w:left w:val="none" w:sz="0" w:space="0" w:color="auto"/>
                <w:bottom w:val="none" w:sz="0" w:space="0" w:color="auto"/>
                <w:right w:val="none" w:sz="0" w:space="0" w:color="auto"/>
              </w:divBdr>
              <w:divsChild>
                <w:div w:id="2814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69363">
      <w:bodyDiv w:val="1"/>
      <w:marLeft w:val="0"/>
      <w:marRight w:val="0"/>
      <w:marTop w:val="0"/>
      <w:marBottom w:val="0"/>
      <w:divBdr>
        <w:top w:val="none" w:sz="0" w:space="0" w:color="auto"/>
        <w:left w:val="none" w:sz="0" w:space="0" w:color="auto"/>
        <w:bottom w:val="none" w:sz="0" w:space="0" w:color="auto"/>
        <w:right w:val="none" w:sz="0" w:space="0" w:color="auto"/>
      </w:divBdr>
      <w:divsChild>
        <w:div w:id="455686904">
          <w:marLeft w:val="0"/>
          <w:marRight w:val="0"/>
          <w:marTop w:val="0"/>
          <w:marBottom w:val="0"/>
          <w:divBdr>
            <w:top w:val="none" w:sz="0" w:space="0" w:color="auto"/>
            <w:left w:val="none" w:sz="0" w:space="0" w:color="auto"/>
            <w:bottom w:val="none" w:sz="0" w:space="0" w:color="auto"/>
            <w:right w:val="none" w:sz="0" w:space="0" w:color="auto"/>
          </w:divBdr>
          <w:divsChild>
            <w:div w:id="239027055">
              <w:marLeft w:val="0"/>
              <w:marRight w:val="0"/>
              <w:marTop w:val="0"/>
              <w:marBottom w:val="0"/>
              <w:divBdr>
                <w:top w:val="none" w:sz="0" w:space="0" w:color="auto"/>
                <w:left w:val="none" w:sz="0" w:space="0" w:color="auto"/>
                <w:bottom w:val="none" w:sz="0" w:space="0" w:color="auto"/>
                <w:right w:val="none" w:sz="0" w:space="0" w:color="auto"/>
              </w:divBdr>
              <w:divsChild>
                <w:div w:id="1006402042">
                  <w:marLeft w:val="0"/>
                  <w:marRight w:val="0"/>
                  <w:marTop w:val="0"/>
                  <w:marBottom w:val="0"/>
                  <w:divBdr>
                    <w:top w:val="none" w:sz="0" w:space="0" w:color="auto"/>
                    <w:left w:val="none" w:sz="0" w:space="0" w:color="auto"/>
                    <w:bottom w:val="none" w:sz="0" w:space="0" w:color="auto"/>
                    <w:right w:val="none" w:sz="0" w:space="0" w:color="auto"/>
                  </w:divBdr>
                  <w:divsChild>
                    <w:div w:id="12972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31994">
      <w:bodyDiv w:val="1"/>
      <w:marLeft w:val="0"/>
      <w:marRight w:val="0"/>
      <w:marTop w:val="0"/>
      <w:marBottom w:val="0"/>
      <w:divBdr>
        <w:top w:val="none" w:sz="0" w:space="0" w:color="auto"/>
        <w:left w:val="none" w:sz="0" w:space="0" w:color="auto"/>
        <w:bottom w:val="none" w:sz="0" w:space="0" w:color="auto"/>
        <w:right w:val="none" w:sz="0" w:space="0" w:color="auto"/>
      </w:divBdr>
    </w:div>
    <w:div w:id="1964731547">
      <w:bodyDiv w:val="1"/>
      <w:marLeft w:val="0"/>
      <w:marRight w:val="0"/>
      <w:marTop w:val="0"/>
      <w:marBottom w:val="0"/>
      <w:divBdr>
        <w:top w:val="none" w:sz="0" w:space="0" w:color="auto"/>
        <w:left w:val="none" w:sz="0" w:space="0" w:color="auto"/>
        <w:bottom w:val="none" w:sz="0" w:space="0" w:color="auto"/>
        <w:right w:val="none" w:sz="0" w:space="0" w:color="auto"/>
      </w:divBdr>
    </w:div>
    <w:div w:id="21162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ifni.flanagan@unwomen.org" TargetMode="External"/><Relationship Id="rId13" Type="http://schemas.openxmlformats.org/officeDocument/2006/relationships/hyperlink" Target="http://mptf.undp.org/factsheet/fund/GAI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ptf.undp.org/document/download/1705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val.org/papersandpubs/documentdetail.jsp?doc_id=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phfund.org/wp-content/uploads/2021/06/Indicator-Tip-Sheet_Impact-3_Humanitarian_ENG-FINAL_09112020.pdf" TargetMode="External"/><Relationship Id="rId5" Type="http://schemas.openxmlformats.org/officeDocument/2006/relationships/webSettings" Target="webSettings.xml"/><Relationship Id="rId15" Type="http://schemas.openxmlformats.org/officeDocument/2006/relationships/hyperlink" Target="http://www.oecd.org/dataoecd/29/21/2754804.pdf" TargetMode="External"/><Relationship Id="rId10" Type="http://schemas.openxmlformats.org/officeDocument/2006/relationships/hyperlink" Target="http://www.wphfun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eifni.flanagan@unwomen.org" TargetMode="External"/><Relationship Id="rId14" Type="http://schemas.openxmlformats.org/officeDocument/2006/relationships/hyperlink" Target="https://twitter.com/AcceleratePea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o.org/resilience/resources/resources-detail/en/c/1274007/" TargetMode="External"/><Relationship Id="rId2" Type="http://schemas.openxmlformats.org/officeDocument/2006/relationships/hyperlink" Target="https://library.wmo.int/doc_num.php?explnum_id=10106" TargetMode="External"/><Relationship Id="rId1" Type="http://schemas.openxmlformats.org/officeDocument/2006/relationships/hyperlink" Target="https://www.adb.org/sites/default/files/publication/415601/economic-fiscal-impacts-disasters-pacifi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0BC2-0AA2-A342-81C3-DBA16D01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Fisher</dc:creator>
  <cp:keywords/>
  <dc:description/>
  <cp:lastModifiedBy>Breifni Flanagan</cp:lastModifiedBy>
  <cp:revision>6</cp:revision>
  <cp:lastPrinted>2016-09-26T16:04:00Z</cp:lastPrinted>
  <dcterms:created xsi:type="dcterms:W3CDTF">2021-07-01T21:23:00Z</dcterms:created>
  <dcterms:modified xsi:type="dcterms:W3CDTF">2021-07-01T21:43:00Z</dcterms:modified>
</cp:coreProperties>
</file>